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A1011" w14:textId="62B4EC5C" w:rsidR="00DA31EB" w:rsidRPr="00993978" w:rsidRDefault="00930153" w:rsidP="00930153">
      <w:pPr>
        <w:spacing w:after="0" w:line="360" w:lineRule="auto"/>
        <w:ind w:right="-19"/>
        <w:jc w:val="center"/>
        <w:rPr>
          <w:rFonts w:ascii="Times New Roman" w:hAnsi="Times New Roman"/>
          <w:sz w:val="28"/>
          <w:szCs w:val="28"/>
          <w:lang w:val="uk-UA"/>
        </w:rPr>
      </w:pPr>
      <w:bookmarkStart w:id="0" w:name="_GoBack"/>
      <w:bookmarkEnd w:id="0"/>
      <w:r w:rsidRPr="00930153">
        <w:rPr>
          <w:rFonts w:ascii="Times New Roman" w:hAnsi="Times New Roman"/>
          <w:b/>
          <w:noProof/>
          <w:sz w:val="28"/>
          <w:szCs w:val="28"/>
          <w:lang w:eastAsia="ru-RU"/>
        </w:rPr>
        <w:drawing>
          <wp:inline distT="0" distB="0" distL="0" distR="0" wp14:anchorId="48301DAD" wp14:editId="1530A292">
            <wp:extent cx="6130811" cy="9105900"/>
            <wp:effectExtent l="0" t="0" r="3810" b="0"/>
            <wp:docPr id="912835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35808" name=""/>
                    <pic:cNvPicPr/>
                  </pic:nvPicPr>
                  <pic:blipFill>
                    <a:blip r:embed="rId8"/>
                    <a:stretch>
                      <a:fillRect/>
                    </a:stretch>
                  </pic:blipFill>
                  <pic:spPr>
                    <a:xfrm>
                      <a:off x="0" y="0"/>
                      <a:ext cx="6133973" cy="9110597"/>
                    </a:xfrm>
                    <a:prstGeom prst="rect">
                      <a:avLst/>
                    </a:prstGeom>
                  </pic:spPr>
                </pic:pic>
              </a:graphicData>
            </a:graphic>
          </wp:inline>
        </w:drawing>
      </w:r>
      <w:r w:rsidRPr="00930153">
        <w:rPr>
          <w:rFonts w:ascii="Times New Roman" w:eastAsia="Times New Roman" w:hAnsi="Times New Roman"/>
          <w:noProof/>
          <w:sz w:val="28"/>
          <w:szCs w:val="28"/>
          <w:lang w:eastAsia="ru-RU"/>
        </w:rPr>
        <w:lastRenderedPageBreak/>
        <w:drawing>
          <wp:inline distT="0" distB="0" distL="0" distR="0" wp14:anchorId="1879CB99" wp14:editId="36291FC7">
            <wp:extent cx="7290193" cy="8412480"/>
            <wp:effectExtent l="0" t="0" r="6350" b="7620"/>
            <wp:docPr id="1684513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13792" name=""/>
                    <pic:cNvPicPr/>
                  </pic:nvPicPr>
                  <pic:blipFill>
                    <a:blip r:embed="rId9"/>
                    <a:stretch>
                      <a:fillRect/>
                    </a:stretch>
                  </pic:blipFill>
                  <pic:spPr>
                    <a:xfrm>
                      <a:off x="0" y="0"/>
                      <a:ext cx="7297074" cy="8420421"/>
                    </a:xfrm>
                    <a:prstGeom prst="rect">
                      <a:avLst/>
                    </a:prstGeom>
                  </pic:spPr>
                </pic:pic>
              </a:graphicData>
            </a:graphic>
          </wp:inline>
        </w:drawing>
      </w:r>
    </w:p>
    <w:p w14:paraId="7217326A" w14:textId="77777777" w:rsidR="00FC1FD3" w:rsidRPr="00993978" w:rsidRDefault="00FC1FD3" w:rsidP="00EF2985">
      <w:pPr>
        <w:spacing w:after="0" w:line="360" w:lineRule="auto"/>
        <w:ind w:firstLine="709"/>
        <w:jc w:val="both"/>
        <w:rPr>
          <w:rFonts w:ascii="Times New Roman" w:hAnsi="Times New Roman"/>
          <w:sz w:val="28"/>
          <w:szCs w:val="28"/>
          <w:lang w:val="uk-UA"/>
        </w:rPr>
      </w:pPr>
    </w:p>
    <w:p w14:paraId="7EF60F54"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40B70F6A"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49D71FC3"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5CEA55E7" w14:textId="77777777" w:rsidR="00DA31EB" w:rsidRDefault="00DA31EB" w:rsidP="00EF2985">
      <w:pPr>
        <w:spacing w:after="0" w:line="360" w:lineRule="auto"/>
        <w:ind w:firstLine="709"/>
        <w:jc w:val="both"/>
        <w:rPr>
          <w:rFonts w:ascii="Times New Roman" w:hAnsi="Times New Roman"/>
          <w:sz w:val="28"/>
          <w:szCs w:val="28"/>
          <w:lang w:val="uk-UA"/>
        </w:rPr>
      </w:pPr>
    </w:p>
    <w:p w14:paraId="17F7AF23" w14:textId="77777777" w:rsidR="00930153" w:rsidRDefault="00930153" w:rsidP="00EF2985">
      <w:pPr>
        <w:spacing w:after="0" w:line="360" w:lineRule="auto"/>
        <w:ind w:firstLine="709"/>
        <w:jc w:val="both"/>
        <w:rPr>
          <w:rFonts w:ascii="Times New Roman" w:hAnsi="Times New Roman"/>
          <w:sz w:val="28"/>
          <w:szCs w:val="28"/>
          <w:lang w:val="uk-UA"/>
        </w:rPr>
      </w:pPr>
    </w:p>
    <w:p w14:paraId="095B3C41" w14:textId="77777777" w:rsidR="00930153" w:rsidRPr="00000392" w:rsidRDefault="00930153" w:rsidP="00930153">
      <w:pPr>
        <w:spacing w:after="0" w:line="360" w:lineRule="auto"/>
        <w:ind w:firstLine="709"/>
        <w:jc w:val="center"/>
        <w:outlineLvl w:val="2"/>
        <w:rPr>
          <w:rFonts w:ascii="Times New Roman" w:eastAsia="Times New Roman" w:hAnsi="Times New Roman"/>
          <w:b/>
          <w:bCs/>
          <w:sz w:val="28"/>
          <w:szCs w:val="28"/>
          <w:lang w:val="uk-UA" w:eastAsia="ru-RU"/>
        </w:rPr>
      </w:pPr>
      <w:r w:rsidRPr="00000392">
        <w:rPr>
          <w:rFonts w:ascii="Times New Roman" w:eastAsia="Times New Roman" w:hAnsi="Times New Roman"/>
          <w:b/>
          <w:bCs/>
          <w:sz w:val="28"/>
          <w:szCs w:val="28"/>
          <w:lang w:val="uk-UA" w:eastAsia="ru-RU"/>
        </w:rPr>
        <w:t>Анотація до бакалаврської роботи</w:t>
      </w:r>
    </w:p>
    <w:p w14:paraId="0C233F57" w14:textId="77777777" w:rsidR="00930153" w:rsidRDefault="00930153" w:rsidP="00930153">
      <w:pPr>
        <w:spacing w:after="0" w:line="360" w:lineRule="auto"/>
        <w:ind w:firstLine="709"/>
        <w:jc w:val="center"/>
        <w:rPr>
          <w:rFonts w:ascii="Times New Roman" w:eastAsia="Times New Roman" w:hAnsi="Times New Roman"/>
          <w:b/>
          <w:sz w:val="28"/>
          <w:szCs w:val="28"/>
          <w:lang w:val="uk-UA" w:eastAsia="ru-RU"/>
        </w:rPr>
      </w:pPr>
      <w:r w:rsidRPr="00000392">
        <w:rPr>
          <w:rFonts w:ascii="Times New Roman" w:eastAsia="Times New Roman" w:hAnsi="Times New Roman"/>
          <w:b/>
          <w:sz w:val="28"/>
          <w:szCs w:val="28"/>
          <w:lang w:val="uk-UA" w:eastAsia="ru-RU"/>
        </w:rPr>
        <w:t>на тему: «</w:t>
      </w:r>
      <w:r w:rsidRPr="00000392">
        <w:rPr>
          <w:rFonts w:ascii="Times New Roman" w:hAnsi="Times New Roman"/>
          <w:b/>
          <w:sz w:val="28"/>
          <w:szCs w:val="28"/>
          <w:lang w:val="uk-UA"/>
        </w:rPr>
        <w:t>Якість надання соціальних послуг під час проведення цифрових консультаційних практик</w:t>
      </w:r>
      <w:r w:rsidRPr="00000392">
        <w:rPr>
          <w:rFonts w:ascii="Times New Roman" w:eastAsia="Times New Roman" w:hAnsi="Times New Roman"/>
          <w:b/>
          <w:sz w:val="28"/>
          <w:szCs w:val="28"/>
          <w:lang w:val="uk-UA" w:eastAsia="ru-RU"/>
        </w:rPr>
        <w:t>»</w:t>
      </w:r>
    </w:p>
    <w:p w14:paraId="3F41A926" w14:textId="77777777" w:rsidR="00930153" w:rsidRDefault="00930153" w:rsidP="00930153">
      <w:pPr>
        <w:spacing w:after="0" w:line="360" w:lineRule="auto"/>
        <w:ind w:firstLine="709"/>
        <w:jc w:val="center"/>
        <w:outlineLvl w:val="2"/>
        <w:rPr>
          <w:rFonts w:ascii="Times New Roman" w:eastAsia="Times New Roman" w:hAnsi="Times New Roman"/>
          <w:b/>
          <w:bCs/>
          <w:sz w:val="28"/>
          <w:szCs w:val="28"/>
          <w:lang w:val="uk-UA" w:eastAsia="ru-RU"/>
        </w:rPr>
      </w:pPr>
      <w:r w:rsidRPr="00472892">
        <w:rPr>
          <w:rFonts w:ascii="Times New Roman" w:eastAsia="Times New Roman" w:hAnsi="Times New Roman"/>
          <w:b/>
          <w:bCs/>
          <w:sz w:val="28"/>
          <w:szCs w:val="28"/>
          <w:lang w:val="uk-UA" w:eastAsia="ru-RU"/>
        </w:rPr>
        <w:t>Бондаренко Євген</w:t>
      </w:r>
      <w:r>
        <w:rPr>
          <w:rFonts w:ascii="Times New Roman" w:eastAsia="Times New Roman" w:hAnsi="Times New Roman"/>
          <w:b/>
          <w:bCs/>
          <w:sz w:val="28"/>
          <w:szCs w:val="28"/>
          <w:lang w:val="uk-UA" w:eastAsia="ru-RU"/>
        </w:rPr>
        <w:t>а</w:t>
      </w:r>
    </w:p>
    <w:p w14:paraId="5502E7A7" w14:textId="77777777" w:rsidR="00930153" w:rsidRPr="00000392" w:rsidRDefault="00930153" w:rsidP="00930153">
      <w:pPr>
        <w:spacing w:after="0" w:line="360" w:lineRule="auto"/>
        <w:ind w:firstLine="709"/>
        <w:jc w:val="center"/>
        <w:rPr>
          <w:rFonts w:ascii="Times New Roman" w:eastAsia="Times New Roman" w:hAnsi="Times New Roman"/>
          <w:b/>
          <w:sz w:val="28"/>
          <w:szCs w:val="28"/>
          <w:lang w:val="uk-UA" w:eastAsia="ru-RU"/>
        </w:rPr>
      </w:pPr>
    </w:p>
    <w:p w14:paraId="6B7DCB21"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sz w:val="28"/>
          <w:szCs w:val="28"/>
          <w:lang w:val="uk-UA" w:eastAsia="ru-RU"/>
        </w:rPr>
        <w:t>У кваліфікаційній роботі досліджено актуальну проблему забезпечення якості соціальних послуг в умовах цифрової трансформації соціальної сфери. Особливу увагу приділено аналізу цифрових консультаційних практик як сучасного інструменту надання соціальної підтримки населенню, оцінці їх ефективності, доступності та впливу на професійну діяльність соціальних працівників.</w:t>
      </w:r>
    </w:p>
    <w:p w14:paraId="53E6AC8B"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Об’єктом дослідження</w:t>
      </w:r>
      <w:r w:rsidRPr="00000392">
        <w:rPr>
          <w:rFonts w:ascii="Times New Roman" w:eastAsia="Times New Roman" w:hAnsi="Times New Roman"/>
          <w:sz w:val="28"/>
          <w:szCs w:val="28"/>
          <w:lang w:val="uk-UA" w:eastAsia="ru-RU"/>
        </w:rPr>
        <w:t xml:space="preserve"> є процес надання соціальних послуг у цифровому середовищі.</w:t>
      </w:r>
    </w:p>
    <w:p w14:paraId="53763E91"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Предметом дослідження</w:t>
      </w:r>
      <w:r w:rsidRPr="00000392">
        <w:rPr>
          <w:rFonts w:ascii="Times New Roman" w:eastAsia="Times New Roman" w:hAnsi="Times New Roman"/>
          <w:sz w:val="28"/>
          <w:szCs w:val="28"/>
          <w:lang w:val="uk-UA" w:eastAsia="ru-RU"/>
        </w:rPr>
        <w:t xml:space="preserve"> є особливості забезпечення якості соціальних послуг під час проведення цифрових консультаційних практик.</w:t>
      </w:r>
    </w:p>
    <w:p w14:paraId="7A4B13FE"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Метою дослідження</w:t>
      </w:r>
      <w:r w:rsidRPr="00000392">
        <w:rPr>
          <w:rFonts w:ascii="Times New Roman" w:eastAsia="Times New Roman" w:hAnsi="Times New Roman"/>
          <w:sz w:val="28"/>
          <w:szCs w:val="28"/>
          <w:lang w:val="uk-UA" w:eastAsia="ru-RU"/>
        </w:rPr>
        <w:t xml:space="preserve"> є теоретичне обґрунтування та аналіз якості надання соціальних послуг під час проведення цифрових консультаційних практик, а також визначення перспектив їх удосконалення у системі соціальної роботи.</w:t>
      </w:r>
    </w:p>
    <w:p w14:paraId="2D4AF6E1"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У першому розділі</w:t>
      </w:r>
      <w:r w:rsidRPr="00000392">
        <w:rPr>
          <w:rFonts w:ascii="Times New Roman" w:eastAsia="Times New Roman" w:hAnsi="Times New Roman"/>
          <w:sz w:val="28"/>
          <w:szCs w:val="28"/>
          <w:lang w:val="uk-UA" w:eastAsia="ru-RU"/>
        </w:rPr>
        <w:t xml:space="preserve"> здійснено аналіз теоретико-методологічних засад дослідження якості соціальних послуг, розкрито поняття, принципи та критерії оцінювання якості соціального обслуговування, охарактеризовано сутність і функціональне значення цифрових технологій у сфері соціальної роботи, а також проаналізовано вітчизняний і зарубіжний досвід використання цифрових консультаційних практик.</w:t>
      </w:r>
    </w:p>
    <w:p w14:paraId="2FEDD61A"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lastRenderedPageBreak/>
        <w:t>У другому розділі</w:t>
      </w:r>
      <w:r w:rsidRPr="00000392">
        <w:rPr>
          <w:rFonts w:ascii="Times New Roman" w:eastAsia="Times New Roman" w:hAnsi="Times New Roman"/>
          <w:sz w:val="28"/>
          <w:szCs w:val="28"/>
          <w:lang w:val="uk-UA" w:eastAsia="ru-RU"/>
        </w:rPr>
        <w:t xml:space="preserve"> досліджено стан розвитку цифрових консультаційних платформ у сфері соціальних послуг, проведено аналітичну оцінку доступності, оперативності та ефективності цифрових консультацій для різних категорій населення, а також визначено особливості впливу цифрових технологій на професійну діяльність соціальних працівників і волонтерів.</w:t>
      </w:r>
    </w:p>
    <w:p w14:paraId="523B7E68"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У третьому розділі</w:t>
      </w:r>
      <w:r w:rsidRPr="00000392">
        <w:rPr>
          <w:rFonts w:ascii="Times New Roman" w:eastAsia="Times New Roman" w:hAnsi="Times New Roman"/>
          <w:sz w:val="28"/>
          <w:szCs w:val="28"/>
          <w:lang w:val="uk-UA" w:eastAsia="ru-RU"/>
        </w:rPr>
        <w:t xml:space="preserve"> представлено результати емпіричного дослідження рівня задоволеності користувачів цифровими консультаціями, проаналізовано основні бар’єри та переваги цифрових форм соціальної підтримки, а також розроблено практичні рекомендації щодо підвищення якості цифрових соціальних послуг і вдосконалення цифрових консультаційних практик.</w:t>
      </w:r>
    </w:p>
    <w:p w14:paraId="4F6D4940"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sz w:val="28"/>
          <w:szCs w:val="28"/>
          <w:lang w:val="uk-UA" w:eastAsia="ru-RU"/>
        </w:rPr>
        <w:t>Практичне значення роботи полягає у можливості використання її результатів у діяльності центрів соціальних служб, органів місцевого самоврядування, громадських та благодійних організацій, волонтерських об’єднань, а також у процесі професійної підготовки майбутніх фахівців соціальної роботи.</w:t>
      </w:r>
    </w:p>
    <w:p w14:paraId="2EA0048D" w14:textId="77777777" w:rsidR="00930153" w:rsidRPr="00000392" w:rsidRDefault="00930153" w:rsidP="00930153">
      <w:pPr>
        <w:spacing w:after="0" w:line="360" w:lineRule="auto"/>
        <w:ind w:firstLine="709"/>
        <w:jc w:val="both"/>
        <w:rPr>
          <w:rFonts w:ascii="Times New Roman" w:eastAsia="Times New Roman" w:hAnsi="Times New Roman"/>
          <w:sz w:val="28"/>
          <w:szCs w:val="28"/>
          <w:lang w:val="uk-UA" w:eastAsia="ru-RU"/>
        </w:rPr>
      </w:pPr>
      <w:r w:rsidRPr="00000392">
        <w:rPr>
          <w:rFonts w:ascii="Times New Roman" w:eastAsia="Times New Roman" w:hAnsi="Times New Roman"/>
          <w:i/>
          <w:sz w:val="28"/>
          <w:szCs w:val="28"/>
          <w:lang w:val="uk-UA" w:eastAsia="ru-RU"/>
        </w:rPr>
        <w:t>Ключові слова:</w:t>
      </w:r>
      <w:r w:rsidRPr="00000392">
        <w:rPr>
          <w:rFonts w:ascii="Times New Roman" w:eastAsia="Times New Roman" w:hAnsi="Times New Roman"/>
          <w:sz w:val="28"/>
          <w:szCs w:val="28"/>
          <w:lang w:val="uk-UA" w:eastAsia="ru-RU"/>
        </w:rPr>
        <w:t xml:space="preserve"> соціальні послуги, цифровізація, цифрові консультаційні практики, соціальна робота, цифрові технології, </w:t>
      </w:r>
      <w:r>
        <w:rPr>
          <w:rFonts w:ascii="Times New Roman" w:eastAsia="Times New Roman" w:hAnsi="Times New Roman"/>
          <w:sz w:val="28"/>
          <w:szCs w:val="28"/>
          <w:lang w:val="uk-UA" w:eastAsia="ru-RU"/>
        </w:rPr>
        <w:t xml:space="preserve">дистанційне консультування, </w:t>
      </w:r>
      <w:r w:rsidRPr="00000392">
        <w:rPr>
          <w:rFonts w:ascii="Times New Roman" w:eastAsia="Times New Roman" w:hAnsi="Times New Roman"/>
          <w:sz w:val="28"/>
          <w:szCs w:val="28"/>
          <w:lang w:val="uk-UA" w:eastAsia="ru-RU"/>
        </w:rPr>
        <w:t>соціальна підтримка, цифрова компетентність.</w:t>
      </w:r>
    </w:p>
    <w:p w14:paraId="4BDB6911" w14:textId="77777777" w:rsidR="00930153" w:rsidRDefault="00930153" w:rsidP="00930153">
      <w:pPr>
        <w:spacing w:after="0" w:line="360" w:lineRule="auto"/>
        <w:ind w:firstLine="709"/>
        <w:jc w:val="both"/>
        <w:rPr>
          <w:rFonts w:ascii="Times New Roman" w:eastAsia="Times New Roman" w:hAnsi="Times New Roman"/>
          <w:sz w:val="28"/>
          <w:szCs w:val="28"/>
          <w:lang w:val="uk-UA" w:eastAsia="ru-RU"/>
        </w:rPr>
      </w:pPr>
    </w:p>
    <w:p w14:paraId="3B5A94D5" w14:textId="77777777" w:rsidR="00930153" w:rsidRPr="00000392" w:rsidRDefault="00930153" w:rsidP="00930153">
      <w:pPr>
        <w:spacing w:after="0" w:line="360" w:lineRule="auto"/>
        <w:ind w:firstLine="709"/>
        <w:jc w:val="center"/>
        <w:outlineLvl w:val="2"/>
        <w:rPr>
          <w:rFonts w:ascii="Times New Roman" w:eastAsia="Times New Roman" w:hAnsi="Times New Roman"/>
          <w:b/>
          <w:sz w:val="28"/>
          <w:szCs w:val="28"/>
          <w:lang w:val="uk-UA" w:eastAsia="ru-RU"/>
        </w:rPr>
      </w:pPr>
      <w:r w:rsidRPr="00000392">
        <w:rPr>
          <w:rFonts w:ascii="Times New Roman" w:eastAsia="Times New Roman" w:hAnsi="Times New Roman"/>
          <w:b/>
          <w:bCs/>
          <w:sz w:val="28"/>
          <w:szCs w:val="28"/>
          <w:lang w:val="uk-UA" w:eastAsia="ru-RU"/>
        </w:rPr>
        <w:t xml:space="preserve">Abstract </w:t>
      </w:r>
      <w:r w:rsidRPr="00000392">
        <w:rPr>
          <w:rFonts w:ascii="Times New Roman" w:eastAsia="Times New Roman" w:hAnsi="Times New Roman"/>
          <w:b/>
          <w:sz w:val="28"/>
          <w:szCs w:val="28"/>
          <w:lang w:val="uk-UA" w:eastAsia="ru-RU"/>
        </w:rPr>
        <w:t xml:space="preserve">for the bachelor's </w:t>
      </w:r>
      <w:r>
        <w:rPr>
          <w:rFonts w:ascii="Times New Roman" w:eastAsia="Times New Roman" w:hAnsi="Times New Roman"/>
          <w:b/>
          <w:sz w:val="28"/>
          <w:szCs w:val="28"/>
          <w:lang w:val="en-US" w:eastAsia="ru-RU"/>
        </w:rPr>
        <w:t>q</w:t>
      </w:r>
      <w:r w:rsidRPr="003B18EB">
        <w:rPr>
          <w:rFonts w:ascii="Times New Roman" w:eastAsia="Times New Roman" w:hAnsi="Times New Roman"/>
          <w:b/>
          <w:sz w:val="28"/>
          <w:szCs w:val="28"/>
          <w:lang w:val="en-US" w:eastAsia="ru-RU"/>
        </w:rPr>
        <w:t>ualification</w:t>
      </w:r>
      <w:r>
        <w:rPr>
          <w:rFonts w:ascii="Times New Roman" w:eastAsia="Times New Roman" w:hAnsi="Times New Roman"/>
          <w:b/>
          <w:sz w:val="28"/>
          <w:szCs w:val="28"/>
          <w:lang w:val="uk-UA" w:eastAsia="ru-RU"/>
        </w:rPr>
        <w:t xml:space="preserve"> </w:t>
      </w:r>
      <w:r w:rsidRPr="00000392">
        <w:rPr>
          <w:rFonts w:ascii="Times New Roman" w:eastAsia="Times New Roman" w:hAnsi="Times New Roman"/>
          <w:b/>
          <w:sz w:val="28"/>
          <w:szCs w:val="28"/>
          <w:lang w:val="uk-UA" w:eastAsia="ru-RU"/>
        </w:rPr>
        <w:t>thesis</w:t>
      </w:r>
    </w:p>
    <w:p w14:paraId="1D0C7930" w14:textId="77777777" w:rsidR="00930153" w:rsidRPr="00000392" w:rsidRDefault="00930153" w:rsidP="00930153">
      <w:pPr>
        <w:spacing w:after="0" w:line="360" w:lineRule="auto"/>
        <w:ind w:firstLine="709"/>
        <w:jc w:val="center"/>
        <w:outlineLvl w:val="2"/>
        <w:rPr>
          <w:rFonts w:ascii="Times New Roman" w:eastAsia="Times New Roman" w:hAnsi="Times New Roman"/>
          <w:b/>
          <w:sz w:val="28"/>
          <w:szCs w:val="28"/>
          <w:lang w:val="uk-UA" w:eastAsia="ru-RU"/>
        </w:rPr>
      </w:pPr>
      <w:r w:rsidRPr="00000392">
        <w:rPr>
          <w:rFonts w:ascii="Times New Roman" w:eastAsia="Times New Roman" w:hAnsi="Times New Roman"/>
          <w:b/>
          <w:sz w:val="28"/>
          <w:szCs w:val="28"/>
          <w:lang w:val="uk-UA" w:eastAsia="ru-RU"/>
        </w:rPr>
        <w:t>on the topic:</w:t>
      </w:r>
    </w:p>
    <w:p w14:paraId="0291D6B2" w14:textId="77777777" w:rsidR="00930153" w:rsidRDefault="00930153" w:rsidP="00930153">
      <w:pPr>
        <w:spacing w:after="0" w:line="360" w:lineRule="auto"/>
        <w:ind w:firstLine="709"/>
        <w:jc w:val="center"/>
        <w:outlineLvl w:val="2"/>
        <w:rPr>
          <w:rFonts w:ascii="Times New Roman" w:eastAsia="Times New Roman" w:hAnsi="Times New Roman"/>
          <w:b/>
          <w:sz w:val="28"/>
          <w:szCs w:val="28"/>
          <w:lang w:val="uk-UA" w:eastAsia="ru-RU"/>
        </w:rPr>
      </w:pPr>
      <w:r w:rsidRPr="00000392">
        <w:rPr>
          <w:rFonts w:ascii="Times New Roman" w:eastAsia="Times New Roman" w:hAnsi="Times New Roman"/>
          <w:b/>
          <w:sz w:val="28"/>
          <w:szCs w:val="28"/>
          <w:lang w:val="uk-UA" w:eastAsia="ru-RU"/>
        </w:rPr>
        <w:t>«</w:t>
      </w:r>
      <w:r w:rsidRPr="007009C8">
        <w:rPr>
          <w:rFonts w:ascii="Times New Roman" w:eastAsia="Times New Roman" w:hAnsi="Times New Roman"/>
          <w:b/>
          <w:sz w:val="28"/>
          <w:szCs w:val="28"/>
          <w:lang w:val="en-US" w:eastAsia="ru-RU"/>
        </w:rPr>
        <w:t>Quality of Social Services Provision During Digital Consultation Practices</w:t>
      </w:r>
      <w:r w:rsidRPr="00000392">
        <w:rPr>
          <w:rFonts w:ascii="Times New Roman" w:eastAsia="Times New Roman" w:hAnsi="Times New Roman"/>
          <w:b/>
          <w:sz w:val="28"/>
          <w:szCs w:val="28"/>
          <w:lang w:val="uk-UA" w:eastAsia="ru-RU"/>
        </w:rPr>
        <w:t>»</w:t>
      </w:r>
    </w:p>
    <w:p w14:paraId="2FE61D3E" w14:textId="77777777" w:rsidR="00930153" w:rsidRPr="00472892" w:rsidRDefault="00930153" w:rsidP="00930153">
      <w:pPr>
        <w:spacing w:after="0" w:line="360" w:lineRule="auto"/>
        <w:ind w:firstLine="709"/>
        <w:jc w:val="center"/>
        <w:rPr>
          <w:rFonts w:ascii="Times New Roman" w:eastAsia="Times New Roman" w:hAnsi="Times New Roman"/>
          <w:b/>
          <w:bCs/>
          <w:sz w:val="28"/>
          <w:szCs w:val="28"/>
          <w:lang w:val="uk-UA" w:eastAsia="ru-RU"/>
        </w:rPr>
      </w:pPr>
      <w:r w:rsidRPr="00472892">
        <w:rPr>
          <w:rFonts w:ascii="Times New Roman" w:eastAsia="Times New Roman" w:hAnsi="Times New Roman"/>
          <w:b/>
          <w:bCs/>
          <w:sz w:val="28"/>
          <w:szCs w:val="28"/>
          <w:lang w:val="uk-UA" w:eastAsia="ru-RU"/>
        </w:rPr>
        <w:t>Bondarenko</w:t>
      </w:r>
      <w:r>
        <w:rPr>
          <w:rFonts w:ascii="Times New Roman" w:eastAsia="Times New Roman" w:hAnsi="Times New Roman"/>
          <w:b/>
          <w:bCs/>
          <w:sz w:val="28"/>
          <w:szCs w:val="28"/>
          <w:lang w:val="uk-UA" w:eastAsia="ru-RU"/>
        </w:rPr>
        <w:t xml:space="preserve"> </w:t>
      </w:r>
      <w:r w:rsidRPr="00E56339">
        <w:rPr>
          <w:rFonts w:ascii="Times New Roman" w:eastAsia="Times New Roman" w:hAnsi="Times New Roman"/>
          <w:b/>
          <w:bCs/>
          <w:sz w:val="28"/>
          <w:szCs w:val="28"/>
          <w:lang w:val="en-US" w:eastAsia="ru-RU"/>
        </w:rPr>
        <w:t>Yevhen</w:t>
      </w:r>
    </w:p>
    <w:p w14:paraId="29FC9E4E" w14:textId="77777777" w:rsidR="00930153" w:rsidRPr="00000392" w:rsidRDefault="00930153" w:rsidP="00930153">
      <w:pPr>
        <w:spacing w:after="0" w:line="360" w:lineRule="auto"/>
        <w:ind w:firstLine="709"/>
        <w:jc w:val="center"/>
        <w:outlineLvl w:val="2"/>
        <w:rPr>
          <w:rFonts w:ascii="Times New Roman" w:eastAsia="Times New Roman" w:hAnsi="Times New Roman"/>
          <w:b/>
          <w:sz w:val="28"/>
          <w:szCs w:val="28"/>
          <w:lang w:val="uk-UA" w:eastAsia="ru-RU"/>
        </w:rPr>
      </w:pPr>
    </w:p>
    <w:p w14:paraId="5B51EB74"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sz w:val="28"/>
          <w:szCs w:val="28"/>
          <w:lang w:val="en-US" w:eastAsia="ru-RU"/>
        </w:rPr>
        <w:t xml:space="preserve">The qualification thesis examines the topical issue of ensuring the quality of social services in the context of digital transformation of the social sphere. Particular attention is paid to digital consultation practices as a modern tool for </w:t>
      </w:r>
      <w:r w:rsidRPr="003B18EB">
        <w:rPr>
          <w:rFonts w:ascii="Times New Roman" w:eastAsia="Times New Roman" w:hAnsi="Times New Roman"/>
          <w:sz w:val="28"/>
          <w:szCs w:val="28"/>
          <w:lang w:val="en-US" w:eastAsia="ru-RU"/>
        </w:rPr>
        <w:lastRenderedPageBreak/>
        <w:t>providing social support, assessing their effectiveness, accessibility, and impact on the professional activities of social workers.</w:t>
      </w:r>
    </w:p>
    <w:p w14:paraId="70C2A82A"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object</w:t>
      </w:r>
      <w:r w:rsidRPr="003B18EB">
        <w:rPr>
          <w:rFonts w:ascii="Times New Roman" w:eastAsia="Times New Roman" w:hAnsi="Times New Roman"/>
          <w:sz w:val="28"/>
          <w:szCs w:val="28"/>
          <w:lang w:val="en-US" w:eastAsia="ru-RU"/>
        </w:rPr>
        <w:t xml:space="preserve"> of the research is the process of providing social services in a digital environment.</w:t>
      </w:r>
    </w:p>
    <w:p w14:paraId="76BA4A17"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subject</w:t>
      </w:r>
      <w:r w:rsidRPr="003B18EB">
        <w:rPr>
          <w:rFonts w:ascii="Times New Roman" w:eastAsia="Times New Roman" w:hAnsi="Times New Roman"/>
          <w:sz w:val="28"/>
          <w:szCs w:val="28"/>
          <w:lang w:val="en-US" w:eastAsia="ru-RU"/>
        </w:rPr>
        <w:t xml:space="preserve"> of the research is the specific features of ensuring the quality of social services during digital consultation practices.</w:t>
      </w:r>
    </w:p>
    <w:p w14:paraId="63B957DA"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purpose</w:t>
      </w:r>
      <w:r w:rsidRPr="003B18EB">
        <w:rPr>
          <w:rFonts w:ascii="Times New Roman" w:eastAsia="Times New Roman" w:hAnsi="Times New Roman"/>
          <w:sz w:val="28"/>
          <w:szCs w:val="28"/>
          <w:lang w:val="en-US" w:eastAsia="ru-RU"/>
        </w:rPr>
        <w:t xml:space="preserve"> of the study is to provide a theoretical substantiation and analysis of the quality of social services delivered through digital consultation practices and to determine prospects for their improvement within the social work system.</w:t>
      </w:r>
    </w:p>
    <w:p w14:paraId="586C3E01"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first chapter</w:t>
      </w:r>
      <w:r w:rsidRPr="003B18EB">
        <w:rPr>
          <w:rFonts w:ascii="Times New Roman" w:eastAsia="Times New Roman" w:hAnsi="Times New Roman"/>
          <w:sz w:val="28"/>
          <w:szCs w:val="28"/>
          <w:lang w:val="en-US" w:eastAsia="ru-RU"/>
        </w:rPr>
        <w:t xml:space="preserve"> analyzes the theoretical and methodological foundations of social service quality assessment, clarifies the concepts, principles and criteria of quality evaluation, characterizes the essence and functional significance of digital technologies in social work, and examines domestic and international experience in the use of digital consultation practices.</w:t>
      </w:r>
    </w:p>
    <w:p w14:paraId="4B939736"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second chapter</w:t>
      </w:r>
      <w:r w:rsidRPr="003B18EB">
        <w:rPr>
          <w:rFonts w:ascii="Times New Roman" w:eastAsia="Times New Roman" w:hAnsi="Times New Roman"/>
          <w:sz w:val="28"/>
          <w:szCs w:val="28"/>
          <w:lang w:val="en-US" w:eastAsia="ru-RU"/>
        </w:rPr>
        <w:t xml:space="preserve"> investigates the current state of digital consultation platforms in the field of social services, provides an analytical assessment of the accessibility, responsiveness and effectiveness of digital consultations for different population groups, and identifies the impact of digital technologies on the professional activities of social workers and volunteers.</w:t>
      </w:r>
    </w:p>
    <w:p w14:paraId="781CCD34"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t>The third chapter</w:t>
      </w:r>
      <w:r w:rsidRPr="003B18EB">
        <w:rPr>
          <w:rFonts w:ascii="Times New Roman" w:eastAsia="Times New Roman" w:hAnsi="Times New Roman"/>
          <w:sz w:val="28"/>
          <w:szCs w:val="28"/>
          <w:lang w:val="en-US" w:eastAsia="ru-RU"/>
        </w:rPr>
        <w:t xml:space="preserve"> presents the results of an empirical study of user satisfaction with digital consultations, analyzes the main advantages and barriers of digital forms of social support, and develops practical recommendations aimed at improving the quality of digital social services and consultation practices.</w:t>
      </w:r>
    </w:p>
    <w:p w14:paraId="03F934E3"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sz w:val="28"/>
          <w:szCs w:val="28"/>
          <w:lang w:val="en-US" w:eastAsia="ru-RU"/>
        </w:rPr>
        <w:t>The practical significance of the study lies in the possibility of applying its results in the activities of social service centers, local self-government bodies, public and charitable organizations, volunteer associations, as well as in the professional training of future social work specialists.</w:t>
      </w:r>
    </w:p>
    <w:p w14:paraId="0A6E98A6" w14:textId="77777777" w:rsidR="00930153" w:rsidRPr="003B18EB" w:rsidRDefault="00930153" w:rsidP="00930153">
      <w:pPr>
        <w:spacing w:after="0" w:line="360" w:lineRule="auto"/>
        <w:ind w:firstLine="709"/>
        <w:jc w:val="both"/>
        <w:rPr>
          <w:rFonts w:ascii="Times New Roman" w:eastAsia="Times New Roman" w:hAnsi="Times New Roman"/>
          <w:sz w:val="28"/>
          <w:szCs w:val="28"/>
          <w:lang w:val="en-US" w:eastAsia="ru-RU"/>
        </w:rPr>
      </w:pPr>
      <w:r w:rsidRPr="003B18EB">
        <w:rPr>
          <w:rFonts w:ascii="Times New Roman" w:eastAsia="Times New Roman" w:hAnsi="Times New Roman"/>
          <w:i/>
          <w:sz w:val="28"/>
          <w:szCs w:val="28"/>
          <w:lang w:val="en-US" w:eastAsia="ru-RU"/>
        </w:rPr>
        <w:lastRenderedPageBreak/>
        <w:t>Key words:</w:t>
      </w:r>
      <w:r w:rsidRPr="003B18EB">
        <w:rPr>
          <w:rFonts w:ascii="Times New Roman" w:eastAsia="Times New Roman" w:hAnsi="Times New Roman"/>
          <w:sz w:val="28"/>
          <w:szCs w:val="28"/>
          <w:lang w:val="en-US" w:eastAsia="ru-RU"/>
        </w:rPr>
        <w:t xml:space="preserve"> social services, digitalization, digital consultation practices, social work, remote counseling, digital technologies, social support, digital competence.</w:t>
      </w:r>
    </w:p>
    <w:p w14:paraId="4FE2C3EA" w14:textId="77777777" w:rsidR="00930153" w:rsidRPr="00000392" w:rsidRDefault="00930153" w:rsidP="00930153">
      <w:pPr>
        <w:spacing w:after="0" w:line="360" w:lineRule="auto"/>
        <w:ind w:firstLine="709"/>
        <w:jc w:val="both"/>
        <w:rPr>
          <w:sz w:val="28"/>
          <w:szCs w:val="28"/>
          <w:lang w:val="uk-UA"/>
        </w:rPr>
      </w:pPr>
    </w:p>
    <w:p w14:paraId="5D07A53F" w14:textId="77777777" w:rsidR="00930153" w:rsidRPr="00993978" w:rsidRDefault="00930153" w:rsidP="00EF2985">
      <w:pPr>
        <w:spacing w:after="0" w:line="360" w:lineRule="auto"/>
        <w:ind w:firstLine="709"/>
        <w:jc w:val="both"/>
        <w:rPr>
          <w:rFonts w:ascii="Times New Roman" w:hAnsi="Times New Roman"/>
          <w:sz w:val="28"/>
          <w:szCs w:val="28"/>
          <w:lang w:val="uk-UA"/>
        </w:rPr>
      </w:pPr>
    </w:p>
    <w:p w14:paraId="24EE657F"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68B88629" w14:textId="77777777" w:rsidR="00DA31EB" w:rsidRPr="00993978" w:rsidRDefault="00DA31EB" w:rsidP="00EF2985">
      <w:pPr>
        <w:widowControl w:val="0"/>
        <w:autoSpaceDE w:val="0"/>
        <w:autoSpaceDN w:val="0"/>
        <w:adjustRightInd w:val="0"/>
        <w:spacing w:after="0" w:line="360" w:lineRule="auto"/>
        <w:ind w:right="-19" w:firstLine="709"/>
        <w:contextualSpacing/>
        <w:jc w:val="center"/>
        <w:rPr>
          <w:rFonts w:ascii="Times New Roman" w:hAnsi="Times New Roman"/>
          <w:b/>
          <w:sz w:val="28"/>
          <w:szCs w:val="28"/>
          <w:lang w:val="uk-UA"/>
        </w:rPr>
      </w:pPr>
      <w:r>
        <w:rPr>
          <w:rFonts w:ascii="Times New Roman" w:hAnsi="Times New Roman"/>
          <w:b/>
          <w:sz w:val="28"/>
          <w:szCs w:val="28"/>
          <w:lang w:val="uk-UA"/>
        </w:rPr>
        <w:t>ЗМІСТ</w:t>
      </w:r>
    </w:p>
    <w:p w14:paraId="09FFC89C" w14:textId="77777777" w:rsidR="00DA31EB" w:rsidRPr="00993978" w:rsidRDefault="00DA31EB" w:rsidP="00EF2985">
      <w:pPr>
        <w:widowControl w:val="0"/>
        <w:autoSpaceDE w:val="0"/>
        <w:autoSpaceDN w:val="0"/>
        <w:adjustRightInd w:val="0"/>
        <w:spacing w:after="0" w:line="360" w:lineRule="auto"/>
        <w:ind w:right="-19" w:firstLine="709"/>
        <w:contextualSpacing/>
        <w:jc w:val="both"/>
        <w:rPr>
          <w:rFonts w:ascii="Times New Roman" w:hAnsi="Times New Roman"/>
          <w:b/>
          <w:sz w:val="28"/>
          <w:szCs w:val="28"/>
          <w:lang w:val="uk-UA"/>
        </w:rPr>
      </w:pPr>
    </w:p>
    <w:tbl>
      <w:tblPr>
        <w:tblW w:w="0" w:type="auto"/>
        <w:tblLook w:val="04A0" w:firstRow="1" w:lastRow="0" w:firstColumn="1" w:lastColumn="0" w:noHBand="0" w:noVBand="1"/>
      </w:tblPr>
      <w:tblGrid>
        <w:gridCol w:w="8472"/>
        <w:gridCol w:w="1098"/>
      </w:tblGrid>
      <w:tr w:rsidR="00DA31EB" w:rsidRPr="00993978" w14:paraId="40F706B4" w14:textId="77777777" w:rsidTr="009D1728">
        <w:tc>
          <w:tcPr>
            <w:tcW w:w="8472" w:type="dxa"/>
            <w:hideMark/>
          </w:tcPr>
          <w:p w14:paraId="34BFC9DC" w14:textId="77777777" w:rsidR="00DA31EB" w:rsidRPr="00993978" w:rsidRDefault="00DA31EB"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hAnsi="Times New Roman"/>
                <w:b/>
                <w:sz w:val="28"/>
                <w:szCs w:val="28"/>
                <w:lang w:val="uk-UA"/>
              </w:rPr>
              <w:t>ВСТУП…………………………………………………………………..</w:t>
            </w:r>
          </w:p>
        </w:tc>
        <w:tc>
          <w:tcPr>
            <w:tcW w:w="1098" w:type="dxa"/>
            <w:vAlign w:val="center"/>
          </w:tcPr>
          <w:p w14:paraId="3CAFD7CF" w14:textId="77777777" w:rsidR="00DA31EB" w:rsidRPr="00993978" w:rsidRDefault="00983C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w:t>
            </w:r>
          </w:p>
        </w:tc>
      </w:tr>
      <w:tr w:rsidR="00DA31EB" w:rsidRPr="00993978" w14:paraId="49F6E010" w14:textId="77777777" w:rsidTr="009D1728">
        <w:tc>
          <w:tcPr>
            <w:tcW w:w="8472" w:type="dxa"/>
            <w:hideMark/>
          </w:tcPr>
          <w:p w14:paraId="5FC8ED72" w14:textId="77777777" w:rsidR="00DA31EB" w:rsidRPr="00993978" w:rsidRDefault="00DA31EB"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hAnsi="Times New Roman"/>
                <w:b/>
                <w:sz w:val="28"/>
                <w:szCs w:val="28"/>
                <w:lang w:val="uk-UA"/>
              </w:rPr>
              <w:t>РОЗДІЛ І. ТЕОРЕТИКО-МЕТОДОЛОГІЧНІ ОСНОВИ ДОСЛІДЖЕННЯ ЯКОСТІ СОЦІАЛЬНИХ ПОСЛУГ…………….</w:t>
            </w:r>
          </w:p>
        </w:tc>
        <w:tc>
          <w:tcPr>
            <w:tcW w:w="1098" w:type="dxa"/>
            <w:vAlign w:val="center"/>
          </w:tcPr>
          <w:p w14:paraId="3A4A2840" w14:textId="77777777" w:rsidR="00DA31EB" w:rsidRPr="00993978" w:rsidRDefault="00711973"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8</w:t>
            </w:r>
          </w:p>
        </w:tc>
      </w:tr>
      <w:tr w:rsidR="00DA31EB" w:rsidRPr="00993978" w14:paraId="4EFE6D53" w14:textId="77777777" w:rsidTr="009D1728">
        <w:tc>
          <w:tcPr>
            <w:tcW w:w="8472" w:type="dxa"/>
            <w:hideMark/>
          </w:tcPr>
          <w:p w14:paraId="1EFEA439" w14:textId="77777777" w:rsidR="00DA31EB" w:rsidRPr="00993978" w:rsidRDefault="00DA31EB" w:rsidP="009D1728">
            <w:pPr>
              <w:widowControl w:val="0"/>
              <w:autoSpaceDE w:val="0"/>
              <w:autoSpaceDN w:val="0"/>
              <w:adjustRightInd w:val="0"/>
              <w:spacing w:after="0"/>
              <w:ind w:right="-19"/>
              <w:contextualSpacing/>
              <w:jc w:val="both"/>
              <w:rPr>
                <w:rFonts w:ascii="Times New Roman" w:hAnsi="Times New Roman"/>
                <w:b/>
                <w:sz w:val="28"/>
                <w:szCs w:val="28"/>
                <w:lang w:val="uk-UA"/>
              </w:rPr>
            </w:pPr>
            <w:r>
              <w:rPr>
                <w:rFonts w:ascii="Times New Roman" w:hAnsi="Times New Roman"/>
                <w:sz w:val="28"/>
                <w:szCs w:val="28"/>
                <w:lang w:val="uk-UA"/>
              </w:rPr>
              <w:t>1.1.</w:t>
            </w:r>
            <w:r>
              <w:rPr>
                <w:rFonts w:ascii="Times New Roman" w:hAnsi="Times New Roman"/>
                <w:b/>
                <w:sz w:val="28"/>
                <w:szCs w:val="28"/>
                <w:lang w:val="uk-UA"/>
              </w:rPr>
              <w:t xml:space="preserve">  </w:t>
            </w:r>
            <w:r>
              <w:rPr>
                <w:rFonts w:ascii="Times New Roman" w:hAnsi="Times New Roman"/>
                <w:sz w:val="28"/>
                <w:szCs w:val="28"/>
                <w:lang w:val="uk-UA"/>
              </w:rPr>
              <w:t>Поняття, принципи та критерії оцінювання якості соціальних послуг……………………………………………………………………</w:t>
            </w:r>
          </w:p>
        </w:tc>
        <w:tc>
          <w:tcPr>
            <w:tcW w:w="1098" w:type="dxa"/>
            <w:vAlign w:val="center"/>
          </w:tcPr>
          <w:p w14:paraId="29EEF374" w14:textId="77777777" w:rsidR="00DA31EB" w:rsidRPr="00993978" w:rsidRDefault="00711973"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8</w:t>
            </w:r>
          </w:p>
        </w:tc>
      </w:tr>
      <w:tr w:rsidR="00DA31EB" w:rsidRPr="00993978" w14:paraId="373457E7" w14:textId="77777777" w:rsidTr="009D1728">
        <w:tc>
          <w:tcPr>
            <w:tcW w:w="8472" w:type="dxa"/>
            <w:hideMark/>
          </w:tcPr>
          <w:p w14:paraId="11B4EE3C" w14:textId="77777777" w:rsidR="00DA31EB" w:rsidRPr="00993978" w:rsidRDefault="00DA31EB"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hAnsi="Times New Roman"/>
                <w:sz w:val="28"/>
                <w:szCs w:val="28"/>
                <w:lang w:val="uk-UA"/>
              </w:rPr>
              <w:t>1.2.  Цифрові технології у сфері соціальної роботи: сутність та функціональне значення…………………………………………………</w:t>
            </w:r>
          </w:p>
        </w:tc>
        <w:tc>
          <w:tcPr>
            <w:tcW w:w="1098" w:type="dxa"/>
            <w:vAlign w:val="center"/>
          </w:tcPr>
          <w:p w14:paraId="6524288B"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12</w:t>
            </w:r>
          </w:p>
        </w:tc>
      </w:tr>
      <w:tr w:rsidR="00DA31EB" w:rsidRPr="00993978" w14:paraId="4B13D632" w14:textId="77777777" w:rsidTr="009D1728">
        <w:tc>
          <w:tcPr>
            <w:tcW w:w="8472" w:type="dxa"/>
            <w:hideMark/>
          </w:tcPr>
          <w:p w14:paraId="6E1D18F9" w14:textId="77777777" w:rsidR="00DA31EB" w:rsidRPr="00993978" w:rsidRDefault="00520A44" w:rsidP="009D1728">
            <w:pPr>
              <w:widowControl w:val="0"/>
              <w:tabs>
                <w:tab w:val="left" w:pos="2011"/>
              </w:tabs>
              <w:autoSpaceDE w:val="0"/>
              <w:autoSpaceDN w:val="0"/>
              <w:adjustRightInd w:val="0"/>
              <w:spacing w:after="0"/>
              <w:ind w:right="-19"/>
              <w:jc w:val="both"/>
              <w:rPr>
                <w:rFonts w:ascii="Times New Roman" w:hAnsi="Times New Roman"/>
                <w:b/>
                <w:sz w:val="28"/>
                <w:szCs w:val="28"/>
                <w:lang w:val="uk-UA"/>
              </w:rPr>
            </w:pPr>
            <w:r>
              <w:rPr>
                <w:rFonts w:ascii="Times New Roman" w:hAnsi="Times New Roman"/>
                <w:sz w:val="28"/>
                <w:szCs w:val="28"/>
                <w:lang w:val="uk-UA"/>
              </w:rPr>
              <w:t>1.3. Зарубіжний та вітчизняний досвід використання цифрових консультаційних практик у соціальній роботі…………………………</w:t>
            </w:r>
          </w:p>
        </w:tc>
        <w:tc>
          <w:tcPr>
            <w:tcW w:w="1098" w:type="dxa"/>
            <w:vAlign w:val="center"/>
          </w:tcPr>
          <w:p w14:paraId="6D540369"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17</w:t>
            </w:r>
          </w:p>
        </w:tc>
      </w:tr>
      <w:tr w:rsidR="00DA31EB" w:rsidRPr="00993978" w14:paraId="14A335F0" w14:textId="77777777" w:rsidTr="009D1728">
        <w:tc>
          <w:tcPr>
            <w:tcW w:w="8472" w:type="dxa"/>
            <w:hideMark/>
          </w:tcPr>
          <w:p w14:paraId="530D0A2A" w14:textId="77777777" w:rsidR="00DA31EB" w:rsidRPr="00993978" w:rsidRDefault="00DA31EB" w:rsidP="009D1728">
            <w:pPr>
              <w:widowControl w:val="0"/>
              <w:autoSpaceDE w:val="0"/>
              <w:autoSpaceDN w:val="0"/>
              <w:adjustRightInd w:val="0"/>
              <w:spacing w:after="0"/>
              <w:ind w:right="-19"/>
              <w:jc w:val="both"/>
              <w:rPr>
                <w:rFonts w:ascii="Times New Roman" w:hAnsi="Times New Roman"/>
                <w:sz w:val="28"/>
                <w:szCs w:val="28"/>
                <w:lang w:val="uk-UA"/>
              </w:rPr>
            </w:pPr>
            <w:r>
              <w:rPr>
                <w:rFonts w:ascii="Times New Roman" w:hAnsi="Times New Roman"/>
                <w:sz w:val="28"/>
                <w:szCs w:val="28"/>
                <w:lang w:val="uk-UA"/>
              </w:rPr>
              <w:t>Висновки до 1 розділу………………………………………………….</w:t>
            </w:r>
          </w:p>
        </w:tc>
        <w:tc>
          <w:tcPr>
            <w:tcW w:w="1098" w:type="dxa"/>
            <w:vAlign w:val="center"/>
          </w:tcPr>
          <w:p w14:paraId="364BCA78"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23</w:t>
            </w:r>
          </w:p>
        </w:tc>
      </w:tr>
      <w:tr w:rsidR="00DA31EB" w:rsidRPr="00993978" w14:paraId="6332C4B6" w14:textId="77777777" w:rsidTr="009D1728">
        <w:tc>
          <w:tcPr>
            <w:tcW w:w="8472" w:type="dxa"/>
            <w:hideMark/>
          </w:tcPr>
          <w:p w14:paraId="5458F195" w14:textId="77777777" w:rsidR="00DA31EB" w:rsidRPr="00993978" w:rsidRDefault="00F34C6A"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eastAsia="Times New Roman" w:hAnsi="Times New Roman"/>
                <w:b/>
                <w:sz w:val="28"/>
                <w:szCs w:val="28"/>
                <w:lang w:val="uk-UA" w:eastAsia="ru-RU"/>
              </w:rPr>
              <w:t>РОЗДІЛ ІІ. АНАЛІТИЧНА ОЦІНКА ЯКОСТІ НАДАННЯ СОЦІАЛЬНИХ ПОСЛУГ У ДИСТАНЦІЙНОМУ ФОРМАТІ….</w:t>
            </w:r>
          </w:p>
        </w:tc>
        <w:tc>
          <w:tcPr>
            <w:tcW w:w="1098" w:type="dxa"/>
            <w:vAlign w:val="center"/>
          </w:tcPr>
          <w:p w14:paraId="7338C036"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25</w:t>
            </w:r>
          </w:p>
        </w:tc>
      </w:tr>
      <w:tr w:rsidR="00DA31EB" w:rsidRPr="00993978" w14:paraId="6FD99EFE" w14:textId="77777777" w:rsidTr="009D1728">
        <w:tc>
          <w:tcPr>
            <w:tcW w:w="8472" w:type="dxa"/>
            <w:hideMark/>
          </w:tcPr>
          <w:p w14:paraId="2DB165F1" w14:textId="77777777" w:rsidR="00DA31EB" w:rsidRPr="00993978" w:rsidRDefault="00DA31EB" w:rsidP="009D1728">
            <w:pPr>
              <w:widowControl w:val="0"/>
              <w:autoSpaceDE w:val="0"/>
              <w:autoSpaceDN w:val="0"/>
              <w:adjustRightInd w:val="0"/>
              <w:spacing w:after="0"/>
              <w:ind w:right="-19"/>
              <w:contextualSpacing/>
              <w:jc w:val="both"/>
              <w:rPr>
                <w:rFonts w:ascii="Times New Roman" w:hAnsi="Times New Roman"/>
                <w:b/>
                <w:sz w:val="28"/>
                <w:szCs w:val="28"/>
                <w:lang w:val="uk-UA"/>
              </w:rPr>
            </w:pPr>
            <w:r>
              <w:rPr>
                <w:rFonts w:ascii="Times New Roman" w:eastAsia="Times New Roman" w:hAnsi="Times New Roman"/>
                <w:sz w:val="28"/>
                <w:szCs w:val="28"/>
                <w:lang w:val="uk-UA" w:eastAsia="ru-RU"/>
              </w:rPr>
              <w:t>2.1. Стан розвитку цифрових консультаційних платформ у сфері соціальних послуг………………………………………………………..</w:t>
            </w:r>
          </w:p>
        </w:tc>
        <w:tc>
          <w:tcPr>
            <w:tcW w:w="1098" w:type="dxa"/>
            <w:vAlign w:val="center"/>
          </w:tcPr>
          <w:p w14:paraId="09A090A4"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25</w:t>
            </w:r>
          </w:p>
        </w:tc>
      </w:tr>
      <w:tr w:rsidR="00DA31EB" w:rsidRPr="00993978" w14:paraId="0993545F" w14:textId="77777777" w:rsidTr="009D1728">
        <w:tc>
          <w:tcPr>
            <w:tcW w:w="8472" w:type="dxa"/>
            <w:hideMark/>
          </w:tcPr>
          <w:p w14:paraId="0AB5780E" w14:textId="77777777" w:rsidR="00DA31EB" w:rsidRPr="00993978" w:rsidRDefault="00DA31EB" w:rsidP="009D1728">
            <w:pPr>
              <w:tabs>
                <w:tab w:val="right" w:leader="dot" w:pos="9356"/>
              </w:tabs>
              <w:spacing w:after="0"/>
              <w:ind w:right="-19"/>
              <w:contextualSpacing/>
              <w:jc w:val="both"/>
              <w:rPr>
                <w:rFonts w:ascii="Times New Roman" w:hAnsi="Times New Roman"/>
                <w:b/>
                <w:sz w:val="28"/>
                <w:szCs w:val="28"/>
                <w:lang w:val="uk-UA"/>
              </w:rPr>
            </w:pPr>
            <w:r>
              <w:rPr>
                <w:rFonts w:ascii="Times New Roman" w:eastAsia="Times New Roman" w:hAnsi="Times New Roman"/>
                <w:sz w:val="28"/>
                <w:szCs w:val="28"/>
                <w:lang w:val="uk-UA" w:eastAsia="ru-RU"/>
              </w:rPr>
              <w:t>2.2. Аналіз доступності, оперативності та ефективності цифрових консультацій для різних категорій населення…………………………</w:t>
            </w:r>
          </w:p>
        </w:tc>
        <w:tc>
          <w:tcPr>
            <w:tcW w:w="1098" w:type="dxa"/>
            <w:vAlign w:val="center"/>
          </w:tcPr>
          <w:p w14:paraId="6ECB5546"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30</w:t>
            </w:r>
          </w:p>
        </w:tc>
      </w:tr>
      <w:tr w:rsidR="00DA31EB" w:rsidRPr="00993978" w14:paraId="58388CEA" w14:textId="77777777" w:rsidTr="009D1728">
        <w:tc>
          <w:tcPr>
            <w:tcW w:w="8472" w:type="dxa"/>
            <w:hideMark/>
          </w:tcPr>
          <w:p w14:paraId="74187063" w14:textId="77777777" w:rsidR="00DA31EB" w:rsidRPr="00993978" w:rsidRDefault="00DA31EB" w:rsidP="009D1728">
            <w:pPr>
              <w:tabs>
                <w:tab w:val="right" w:leader="dot" w:pos="9356"/>
              </w:tabs>
              <w:spacing w:after="0"/>
              <w:ind w:right="-19"/>
              <w:contextualSpacing/>
              <w:jc w:val="both"/>
              <w:rPr>
                <w:rFonts w:ascii="Times New Roman" w:hAnsi="Times New Roman"/>
                <w:b/>
                <w:sz w:val="28"/>
                <w:szCs w:val="28"/>
                <w:lang w:val="uk-UA"/>
              </w:rPr>
            </w:pPr>
            <w:r>
              <w:rPr>
                <w:rFonts w:ascii="Times New Roman" w:eastAsia="Times New Roman" w:hAnsi="Times New Roman"/>
                <w:sz w:val="28"/>
                <w:szCs w:val="28"/>
                <w:lang w:val="uk-UA" w:eastAsia="ru-RU"/>
              </w:rPr>
              <w:t>2.3. Вплив цифрових технологій на професійну діяльність соціального працівника та волонтера…………………………………</w:t>
            </w:r>
          </w:p>
        </w:tc>
        <w:tc>
          <w:tcPr>
            <w:tcW w:w="1098" w:type="dxa"/>
            <w:vAlign w:val="center"/>
          </w:tcPr>
          <w:p w14:paraId="689C88CA"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36</w:t>
            </w:r>
          </w:p>
        </w:tc>
      </w:tr>
      <w:tr w:rsidR="00DA31EB" w:rsidRPr="00993978" w14:paraId="538F371F" w14:textId="77777777" w:rsidTr="009D1728">
        <w:tc>
          <w:tcPr>
            <w:tcW w:w="8472" w:type="dxa"/>
            <w:hideMark/>
          </w:tcPr>
          <w:p w14:paraId="0C82DD8E" w14:textId="77777777" w:rsidR="00DA31EB" w:rsidRPr="00993978" w:rsidRDefault="00DA31EB" w:rsidP="009D1728">
            <w:pPr>
              <w:tabs>
                <w:tab w:val="right" w:leader="dot" w:pos="9356"/>
              </w:tabs>
              <w:spacing w:after="0"/>
              <w:ind w:right="-1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Висновки до 2 розділу………………………………………………….</w:t>
            </w:r>
          </w:p>
        </w:tc>
        <w:tc>
          <w:tcPr>
            <w:tcW w:w="1098" w:type="dxa"/>
            <w:vAlign w:val="center"/>
          </w:tcPr>
          <w:p w14:paraId="137A3D52"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42</w:t>
            </w:r>
          </w:p>
        </w:tc>
      </w:tr>
      <w:tr w:rsidR="00DA31EB" w:rsidRPr="00993978" w14:paraId="6DFC988C" w14:textId="77777777" w:rsidTr="009D1728">
        <w:tc>
          <w:tcPr>
            <w:tcW w:w="8472" w:type="dxa"/>
            <w:hideMark/>
          </w:tcPr>
          <w:p w14:paraId="38429347" w14:textId="77777777" w:rsidR="00DA31EB" w:rsidRPr="00993978" w:rsidRDefault="00DA31EB" w:rsidP="009D1728">
            <w:pPr>
              <w:tabs>
                <w:tab w:val="right" w:leader="dot" w:pos="9360"/>
              </w:tabs>
              <w:spacing w:after="0"/>
              <w:ind w:right="-19"/>
              <w:jc w:val="both"/>
              <w:rPr>
                <w:rFonts w:ascii="Times New Roman" w:hAnsi="Times New Roman"/>
                <w:b/>
                <w:sz w:val="28"/>
                <w:szCs w:val="28"/>
                <w:lang w:val="uk-UA"/>
              </w:rPr>
            </w:pPr>
            <w:r>
              <w:rPr>
                <w:rFonts w:ascii="Times New Roman" w:eastAsia="Times New Roman" w:hAnsi="Times New Roman"/>
                <w:b/>
                <w:sz w:val="28"/>
                <w:szCs w:val="28"/>
                <w:lang w:val="uk-UA" w:eastAsia="ru-RU"/>
              </w:rPr>
              <w:t>РОЗДІЛ ІІІ. ЕМПІРИЧНЕ ДОСЛІДЖЕННЯ ЯКОСТІ ЦИФРОВИХ СОЦІАЛЬНИХ ПОСЛУГ……………………………</w:t>
            </w:r>
          </w:p>
        </w:tc>
        <w:tc>
          <w:tcPr>
            <w:tcW w:w="1098" w:type="dxa"/>
            <w:vAlign w:val="center"/>
          </w:tcPr>
          <w:p w14:paraId="6D18DDA9"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45</w:t>
            </w:r>
          </w:p>
        </w:tc>
      </w:tr>
      <w:tr w:rsidR="00DA31EB" w:rsidRPr="00993978" w14:paraId="50BF3166" w14:textId="77777777" w:rsidTr="009D1728">
        <w:tc>
          <w:tcPr>
            <w:tcW w:w="8472" w:type="dxa"/>
            <w:hideMark/>
          </w:tcPr>
          <w:p w14:paraId="0E753251" w14:textId="77777777" w:rsidR="00DA31EB" w:rsidRPr="00993978" w:rsidRDefault="00DA31EB" w:rsidP="009D1728">
            <w:pPr>
              <w:tabs>
                <w:tab w:val="left" w:pos="928"/>
              </w:tabs>
              <w:spacing w:after="0"/>
              <w:ind w:right="-19"/>
              <w:jc w:val="both"/>
              <w:rPr>
                <w:rFonts w:ascii="Times New Roman" w:hAnsi="Times New Roman"/>
                <w:b/>
                <w:sz w:val="28"/>
                <w:szCs w:val="28"/>
                <w:lang w:val="uk-UA"/>
              </w:rPr>
            </w:pPr>
            <w:r>
              <w:rPr>
                <w:rFonts w:ascii="Times New Roman" w:eastAsia="Times New Roman" w:hAnsi="Times New Roman"/>
                <w:sz w:val="28"/>
                <w:szCs w:val="28"/>
                <w:lang w:val="uk-UA" w:eastAsia="ru-RU"/>
              </w:rPr>
              <w:t xml:space="preserve">3.1. </w:t>
            </w:r>
            <w:r>
              <w:rPr>
                <w:rFonts w:ascii="Times New Roman" w:eastAsia="Times New Roman" w:hAnsi="Times New Roman"/>
                <w:sz w:val="28"/>
                <w:szCs w:val="28"/>
                <w:lang w:val="uk-UA" w:eastAsia="ru-RU"/>
              </w:rPr>
              <w:tab/>
              <w:t>Методологія та інструментарій дослідження рівня задоволеності користувачів цифровими консультаціями…………….</w:t>
            </w:r>
          </w:p>
        </w:tc>
        <w:tc>
          <w:tcPr>
            <w:tcW w:w="1098" w:type="dxa"/>
            <w:vAlign w:val="center"/>
          </w:tcPr>
          <w:p w14:paraId="4117FFDA"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45</w:t>
            </w:r>
          </w:p>
        </w:tc>
      </w:tr>
      <w:tr w:rsidR="00DA31EB" w:rsidRPr="00993978" w14:paraId="48DE351F" w14:textId="77777777" w:rsidTr="009D1728">
        <w:tc>
          <w:tcPr>
            <w:tcW w:w="8472" w:type="dxa"/>
            <w:hideMark/>
          </w:tcPr>
          <w:p w14:paraId="51D702C6" w14:textId="77777777" w:rsidR="00DA31EB" w:rsidRPr="00993978" w:rsidRDefault="00DA31EB" w:rsidP="009D1728">
            <w:pPr>
              <w:tabs>
                <w:tab w:val="left" w:pos="1440"/>
                <w:tab w:val="right" w:leader="dot" w:pos="9356"/>
              </w:tabs>
              <w:spacing w:after="0"/>
              <w:ind w:right="-19"/>
              <w:jc w:val="both"/>
              <w:rPr>
                <w:rFonts w:ascii="Times New Roman" w:hAnsi="Times New Roman"/>
                <w:b/>
                <w:sz w:val="28"/>
                <w:szCs w:val="28"/>
                <w:lang w:val="uk-UA"/>
              </w:rPr>
            </w:pPr>
            <w:r>
              <w:rPr>
                <w:rFonts w:ascii="Times New Roman" w:eastAsia="Times New Roman" w:hAnsi="Times New Roman"/>
                <w:sz w:val="28"/>
                <w:szCs w:val="28"/>
                <w:lang w:val="uk-UA" w:eastAsia="ru-RU"/>
              </w:rPr>
              <w:t>3.2.   Результати соціологічного дослідження щодо якості цифрових соціальних послуг……………………………………………………….</w:t>
            </w:r>
          </w:p>
        </w:tc>
        <w:tc>
          <w:tcPr>
            <w:tcW w:w="1098" w:type="dxa"/>
            <w:vAlign w:val="center"/>
          </w:tcPr>
          <w:p w14:paraId="40925546"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48</w:t>
            </w:r>
          </w:p>
        </w:tc>
      </w:tr>
      <w:tr w:rsidR="00DA31EB" w:rsidRPr="00993978" w14:paraId="70D4146E" w14:textId="77777777" w:rsidTr="009D1728">
        <w:tc>
          <w:tcPr>
            <w:tcW w:w="8472" w:type="dxa"/>
          </w:tcPr>
          <w:p w14:paraId="0FA8C62C" w14:textId="77777777" w:rsidR="00DA31EB" w:rsidRPr="00993978" w:rsidRDefault="00DA31EB" w:rsidP="009D1728">
            <w:pPr>
              <w:tabs>
                <w:tab w:val="left" w:pos="1440"/>
                <w:tab w:val="right" w:leader="dot" w:pos="9356"/>
              </w:tabs>
              <w:spacing w:after="0"/>
              <w:ind w:right="-1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3.3. Перспективи вдосконалення цифрових консультаційних практик у системі соціальної роботи…………………………………………….</w:t>
            </w:r>
          </w:p>
        </w:tc>
        <w:tc>
          <w:tcPr>
            <w:tcW w:w="1098" w:type="dxa"/>
            <w:vAlign w:val="center"/>
          </w:tcPr>
          <w:p w14:paraId="58C74CA4"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54</w:t>
            </w:r>
          </w:p>
        </w:tc>
      </w:tr>
      <w:tr w:rsidR="00DA31EB" w:rsidRPr="00993978" w14:paraId="5DB2F05E" w14:textId="77777777" w:rsidTr="009D1728">
        <w:tc>
          <w:tcPr>
            <w:tcW w:w="8472" w:type="dxa"/>
            <w:hideMark/>
          </w:tcPr>
          <w:p w14:paraId="1320AC89" w14:textId="77777777" w:rsidR="00DA31EB" w:rsidRPr="00993978" w:rsidRDefault="00DA31EB" w:rsidP="009D1728">
            <w:pPr>
              <w:tabs>
                <w:tab w:val="right" w:leader="dot" w:pos="9356"/>
              </w:tabs>
              <w:spacing w:after="0"/>
              <w:ind w:right="-19"/>
              <w:jc w:val="both"/>
              <w:rPr>
                <w:rFonts w:ascii="Times New Roman" w:eastAsia="Times New Roman" w:hAnsi="Times New Roman"/>
                <w:sz w:val="28"/>
                <w:szCs w:val="28"/>
                <w:lang w:val="uk-UA" w:eastAsia="ru-RU"/>
              </w:rPr>
            </w:pPr>
            <w:r>
              <w:rPr>
                <w:rFonts w:ascii="Times New Roman" w:hAnsi="Times New Roman"/>
                <w:sz w:val="28"/>
                <w:szCs w:val="28"/>
                <w:lang w:val="uk-UA"/>
              </w:rPr>
              <w:t>Висновки до 3 розділу………………………………………………….</w:t>
            </w:r>
          </w:p>
        </w:tc>
        <w:tc>
          <w:tcPr>
            <w:tcW w:w="1098" w:type="dxa"/>
            <w:vAlign w:val="center"/>
          </w:tcPr>
          <w:p w14:paraId="6787BEE3"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57</w:t>
            </w:r>
          </w:p>
        </w:tc>
      </w:tr>
      <w:tr w:rsidR="00DA31EB" w:rsidRPr="00993978" w14:paraId="545111C5" w14:textId="77777777" w:rsidTr="009D1728">
        <w:tc>
          <w:tcPr>
            <w:tcW w:w="8472" w:type="dxa"/>
            <w:hideMark/>
          </w:tcPr>
          <w:p w14:paraId="34BC2130" w14:textId="77777777" w:rsidR="00DA31EB" w:rsidRPr="00993978" w:rsidRDefault="00DA31EB" w:rsidP="009D1728">
            <w:pPr>
              <w:widowControl w:val="0"/>
              <w:autoSpaceDE w:val="0"/>
              <w:autoSpaceDN w:val="0"/>
              <w:adjustRightInd w:val="0"/>
              <w:spacing w:after="0"/>
              <w:ind w:right="-19"/>
              <w:contextualSpacing/>
              <w:jc w:val="both"/>
              <w:rPr>
                <w:rFonts w:ascii="Times New Roman" w:hAnsi="Times New Roman"/>
                <w:b/>
                <w:sz w:val="28"/>
                <w:szCs w:val="28"/>
                <w:lang w:val="uk-UA"/>
              </w:rPr>
            </w:pPr>
            <w:r>
              <w:rPr>
                <w:rFonts w:ascii="Times New Roman" w:eastAsia="Times New Roman" w:hAnsi="Times New Roman"/>
                <w:b/>
                <w:sz w:val="28"/>
                <w:szCs w:val="28"/>
                <w:lang w:val="uk-UA" w:eastAsia="ru-RU"/>
              </w:rPr>
              <w:lastRenderedPageBreak/>
              <w:t>ВИСНОВКИ……………………………………………………………</w:t>
            </w:r>
          </w:p>
        </w:tc>
        <w:tc>
          <w:tcPr>
            <w:tcW w:w="1098" w:type="dxa"/>
            <w:vAlign w:val="center"/>
          </w:tcPr>
          <w:p w14:paraId="3051FC84"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59</w:t>
            </w:r>
          </w:p>
        </w:tc>
      </w:tr>
      <w:tr w:rsidR="00DA31EB" w:rsidRPr="00993978" w14:paraId="585D8CBB" w14:textId="77777777" w:rsidTr="009D1728">
        <w:tc>
          <w:tcPr>
            <w:tcW w:w="8472" w:type="dxa"/>
            <w:hideMark/>
          </w:tcPr>
          <w:p w14:paraId="452386C9" w14:textId="77777777" w:rsidR="00DA31EB" w:rsidRPr="00993978" w:rsidRDefault="00DA31EB"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eastAsia="Times New Roman" w:hAnsi="Times New Roman"/>
                <w:b/>
                <w:sz w:val="28"/>
                <w:szCs w:val="28"/>
                <w:lang w:val="uk-UA" w:eastAsia="ru-RU"/>
              </w:rPr>
              <w:t>СПИСОК ВИКОРИСТАНИХ ДЖЕРЕЛ І ЛІТЕРАТУРИ……….</w:t>
            </w:r>
          </w:p>
        </w:tc>
        <w:tc>
          <w:tcPr>
            <w:tcW w:w="1098" w:type="dxa"/>
            <w:vAlign w:val="center"/>
          </w:tcPr>
          <w:p w14:paraId="7EF6AD26"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63</w:t>
            </w:r>
          </w:p>
        </w:tc>
      </w:tr>
      <w:tr w:rsidR="00DA31EB" w:rsidRPr="00993978" w14:paraId="77A88B15" w14:textId="77777777" w:rsidTr="009D1728">
        <w:tc>
          <w:tcPr>
            <w:tcW w:w="8472" w:type="dxa"/>
            <w:hideMark/>
          </w:tcPr>
          <w:p w14:paraId="17ECBA94" w14:textId="77777777" w:rsidR="00DA31EB" w:rsidRPr="00993978" w:rsidRDefault="00DA31EB" w:rsidP="009D1728">
            <w:pPr>
              <w:widowControl w:val="0"/>
              <w:autoSpaceDE w:val="0"/>
              <w:autoSpaceDN w:val="0"/>
              <w:adjustRightInd w:val="0"/>
              <w:spacing w:after="0"/>
              <w:ind w:right="-19"/>
              <w:jc w:val="both"/>
              <w:rPr>
                <w:rFonts w:ascii="Times New Roman" w:hAnsi="Times New Roman"/>
                <w:b/>
                <w:sz w:val="28"/>
                <w:szCs w:val="28"/>
                <w:lang w:val="uk-UA"/>
              </w:rPr>
            </w:pPr>
            <w:r>
              <w:rPr>
                <w:rFonts w:ascii="Times New Roman" w:eastAsia="Times New Roman" w:hAnsi="Times New Roman"/>
                <w:b/>
                <w:sz w:val="28"/>
                <w:szCs w:val="28"/>
                <w:lang w:val="uk-UA" w:eastAsia="ru-RU"/>
              </w:rPr>
              <w:t>ДОДАТКИ………………………………………………………………</w:t>
            </w:r>
          </w:p>
        </w:tc>
        <w:tc>
          <w:tcPr>
            <w:tcW w:w="1098" w:type="dxa"/>
            <w:vAlign w:val="center"/>
          </w:tcPr>
          <w:p w14:paraId="6FBE6EAB" w14:textId="77777777" w:rsidR="00DA31EB" w:rsidRPr="00993978" w:rsidRDefault="009D1728" w:rsidP="009D1728">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68</w:t>
            </w:r>
          </w:p>
        </w:tc>
      </w:tr>
    </w:tbl>
    <w:p w14:paraId="17EC934D"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69DBAF63" w14:textId="77777777" w:rsidR="00DA31EB" w:rsidRPr="00993978" w:rsidRDefault="00DA31EB" w:rsidP="00EF2985">
      <w:pPr>
        <w:spacing w:after="0" w:line="360" w:lineRule="auto"/>
        <w:ind w:firstLine="709"/>
        <w:jc w:val="both"/>
        <w:rPr>
          <w:rFonts w:ascii="Times New Roman" w:hAnsi="Times New Roman"/>
          <w:sz w:val="28"/>
          <w:szCs w:val="28"/>
          <w:lang w:val="uk-UA"/>
        </w:rPr>
      </w:pPr>
    </w:p>
    <w:p w14:paraId="2BE44E92" w14:textId="77777777" w:rsidR="00DB1F7C" w:rsidRPr="00993978" w:rsidRDefault="00DB1F7C" w:rsidP="00EF2985">
      <w:pPr>
        <w:spacing w:after="0" w:line="360" w:lineRule="auto"/>
        <w:ind w:firstLine="709"/>
        <w:jc w:val="both"/>
        <w:rPr>
          <w:rFonts w:ascii="Times New Roman" w:hAnsi="Times New Roman"/>
          <w:sz w:val="28"/>
          <w:szCs w:val="28"/>
          <w:lang w:val="uk-UA"/>
        </w:rPr>
      </w:pPr>
    </w:p>
    <w:p w14:paraId="50400773" w14:textId="77777777" w:rsidR="00DA31EB" w:rsidRPr="00993978" w:rsidRDefault="00DA31EB" w:rsidP="009D1728">
      <w:pPr>
        <w:tabs>
          <w:tab w:val="left" w:pos="4020"/>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ВСТУП</w:t>
      </w:r>
    </w:p>
    <w:p w14:paraId="436AA99C" w14:textId="77777777" w:rsidR="00DA31EB" w:rsidRPr="00993978" w:rsidRDefault="00DA31EB" w:rsidP="00EF2985">
      <w:pPr>
        <w:spacing w:after="0" w:line="360" w:lineRule="auto"/>
        <w:ind w:firstLine="709"/>
        <w:jc w:val="both"/>
        <w:rPr>
          <w:rFonts w:ascii="Times New Roman" w:hAnsi="Times New Roman"/>
          <w:b/>
          <w:sz w:val="28"/>
          <w:szCs w:val="28"/>
          <w:highlight w:val="darkGray"/>
          <w:lang w:val="uk-UA"/>
        </w:rPr>
      </w:pPr>
    </w:p>
    <w:p w14:paraId="6DF98F8C"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Актуальність теми.</w:t>
      </w:r>
      <w:r>
        <w:rPr>
          <w:rFonts w:ascii="Times New Roman" w:hAnsi="Times New Roman"/>
          <w:sz w:val="28"/>
          <w:szCs w:val="28"/>
          <w:lang w:val="uk-UA"/>
        </w:rPr>
        <w:t xml:space="preserve"> У сучасних умовах цифрової трансформації суспільства особливої актуальності набуває питання забезпечення якісного надання соціальних послуг із використанням цифрових технологій. Розвиток інформаційно-комунікаційних технологій, поширення дистанційних форм взаємодії, наслідки пандемії COVID-19, воєнного стану та вимушеного переміщення населення зумовили необхідність активного впровадження цифрових консультаційних практик у систему соціальної роботи. У сучасних умовах цифрові консультації стають одним із ключових інструментів забезпечення доступності соціальної підтримки для різних категорій населення, зокрема осіб, які перебувають у складних життєвих обставинах, внутрішньо переміщених осіб, людей з інвалідністю, осіб похилого віку та мешканців віддалених територій.</w:t>
      </w:r>
    </w:p>
    <w:p w14:paraId="1A04F1D0"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Цифрові консультаційні практики дозволяють забезпечити оперативність, безперервність та доступність соціальних послуг, сприяють оптимізації діяльності соціальних служб і розширенню можливостей комунікації між соціальним працівником та отримувачем послуг. Водночас використання цифрових технологій у сфері соціальної роботи супроводжується низкою викликів, пов’язаних із забезпеченням якості соціальних послуг, цифровою нерівністю, недостатнім рівнем цифрової компетентності населення та фахівців соціальної сфери, питаннями конфіденційності та етичності дистанційної взаємодії.</w:t>
      </w:r>
    </w:p>
    <w:p w14:paraId="4ABD6718"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цьому контексті особливого значення набуває дослідження якості надання соціальних послуг під час проведення цифрових консультаційних практик. Необхідність удосконалення механізмів дистанційної соціальної підтримки, оцінювання рівня задоволеності користувачів цифровими послугами та визначення перспектив розвитку цифрових соціальних сервісів обумовлюють актуальність обраної теми дослідження.</w:t>
      </w:r>
    </w:p>
    <w:p w14:paraId="5F28D5D7"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Аналіз останніх досліджень і публікацій.</w:t>
      </w:r>
      <w:r>
        <w:rPr>
          <w:rFonts w:ascii="Times New Roman" w:hAnsi="Times New Roman"/>
          <w:sz w:val="28"/>
          <w:szCs w:val="28"/>
          <w:lang w:val="uk-UA"/>
        </w:rPr>
        <w:t xml:space="preserve"> Проблематика якості соціальних послуг та цифровізації соціальної роботи висвітлюється у працях вітчизняних і зарубіжних науковців у галузі соціальної роботи, соціології, психології та інформаційних технологій. Теоретичні засади соціальної роботи та оцінювання якості соціальних послуг досліджували І. Звєрєва, Т. Семигіна, О. Безпалько, Н. Кабаченко, Л. Карамушка. Питання цифровізації соціальної сфери, впровадження дистанційних форм соціальної підтримки та використання інформаційно-комунікаційних технологій у соціальній роботі розглядаються у працях сучасних українських та зарубіжних дослідників. Значну увагу науковці приділяють проблемам доступності цифрових послуг, цифрової грамотності населення та професійної адаптації соціальних працівників до нових форматів роботи.</w:t>
      </w:r>
    </w:p>
    <w:p w14:paraId="3CA075F1"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незважаючи на наявність наукових досліджень у сфері цифровізації соціальної роботи, питання забезпечення якості соціальних послуг під час проведення цифрових консультаційних практик в Україні залишається недостатньо дослідженим. Потребують подальшого вивчення критерії оцінювання якості цифрових консультацій, рівень задоволеності користувачів соціальними послугами у дистанційному форматі та перспективи вдосконалення цифрових соціальних сервісів.</w:t>
      </w:r>
    </w:p>
    <w:p w14:paraId="72D97A69"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Об’єкт дослідження:</w:t>
      </w:r>
      <w:r>
        <w:rPr>
          <w:rFonts w:ascii="Times New Roman" w:hAnsi="Times New Roman"/>
          <w:sz w:val="28"/>
          <w:szCs w:val="28"/>
          <w:lang w:val="uk-UA"/>
        </w:rPr>
        <w:t xml:space="preserve"> процес надання соціальних послуг у цифровому середовищі.</w:t>
      </w:r>
    </w:p>
    <w:p w14:paraId="1C3A0283"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Предмет дослідження:</w:t>
      </w:r>
      <w:r>
        <w:rPr>
          <w:rFonts w:ascii="Times New Roman" w:hAnsi="Times New Roman"/>
          <w:sz w:val="28"/>
          <w:szCs w:val="28"/>
          <w:lang w:val="uk-UA"/>
        </w:rPr>
        <w:t xml:space="preserve"> особливості забезпечення якості соціальних послуг під час проведення цифрових консультаційних практик.</w:t>
      </w:r>
    </w:p>
    <w:p w14:paraId="787F1282"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Мета дослідження </w:t>
      </w:r>
      <w:r>
        <w:rPr>
          <w:rFonts w:ascii="Times New Roman" w:hAnsi="Times New Roman"/>
          <w:sz w:val="28"/>
          <w:szCs w:val="28"/>
          <w:lang w:val="uk-UA"/>
        </w:rPr>
        <w:t>полягає у теоретичному обґрунтуванні та аналізі якості надання соціальних послуг під час проведення цифрових консультаційних практик, а також визначенні перспектив їх удосконалення у системі соціальної роботи.</w:t>
      </w:r>
    </w:p>
    <w:p w14:paraId="3DF60AE6" w14:textId="77777777" w:rsidR="00613C16"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досягнення поставленої мети визначено такі </w:t>
      </w:r>
      <w:r>
        <w:rPr>
          <w:rFonts w:ascii="Times New Roman" w:hAnsi="Times New Roman"/>
          <w:b/>
          <w:sz w:val="28"/>
          <w:szCs w:val="28"/>
          <w:lang w:val="uk-UA"/>
        </w:rPr>
        <w:t xml:space="preserve">завдання </w:t>
      </w:r>
      <w:r>
        <w:rPr>
          <w:rFonts w:ascii="Times New Roman" w:hAnsi="Times New Roman"/>
          <w:sz w:val="28"/>
          <w:szCs w:val="28"/>
          <w:lang w:val="uk-UA"/>
        </w:rPr>
        <w:t>дослідження:</w:t>
      </w:r>
    </w:p>
    <w:p w14:paraId="230CF532"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розкрити поняття, принципи та критерії оцінювання якості соціальних послуг;</w:t>
      </w:r>
    </w:p>
    <w:p w14:paraId="43273842"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охарактеризувати сутність та функціональне значення цифрових технологій у сфері соціальної роботи;</w:t>
      </w:r>
    </w:p>
    <w:p w14:paraId="52A6258D"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проаналізувати зарубіжний та вітчизняний досвід використання цифрових консультаційних практик у соціальній роботі;</w:t>
      </w:r>
    </w:p>
    <w:p w14:paraId="4AFB6970"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дослідити стан розвитку цифрових консультаційних платформ у сфері соціальних послуг;</w:t>
      </w:r>
    </w:p>
    <w:p w14:paraId="2A08D803"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здійснити аналіз доступності, оперативності та ефективності цифрових консультацій для різних категорій населення;</w:t>
      </w:r>
    </w:p>
    <w:p w14:paraId="3053BB44"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визначити вплив цифрових технологій на професійну діяльність соціального працівника та волонтера;</w:t>
      </w:r>
    </w:p>
    <w:p w14:paraId="1743E0D2"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розробити методологію емпіричного дослідження рівня задоволеності користувачів цифровими консультаціями;</w:t>
      </w:r>
    </w:p>
    <w:p w14:paraId="221485D9" w14:textId="77777777" w:rsidR="00613C16"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провести соціологічне дослідження щодо якості цифрових соціальних послуг;</w:t>
      </w:r>
    </w:p>
    <w:p w14:paraId="085F9A18" w14:textId="77777777" w:rsidR="00EF2985" w:rsidRPr="00993978" w:rsidRDefault="00EF2985" w:rsidP="00613C16">
      <w:pPr>
        <w:pStyle w:val="a3"/>
        <w:numPr>
          <w:ilvl w:val="0"/>
          <w:numId w:val="7"/>
        </w:numPr>
        <w:tabs>
          <w:tab w:val="left" w:pos="127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окреслити перспективи вдосконалення цифрових консультаційних практик у системі соціальної роботи.</w:t>
      </w:r>
    </w:p>
    <w:p w14:paraId="56A75067"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Теоретико-методологічну</w:t>
      </w:r>
      <w:r>
        <w:rPr>
          <w:rFonts w:ascii="Times New Roman" w:hAnsi="Times New Roman"/>
          <w:sz w:val="28"/>
          <w:szCs w:val="28"/>
          <w:lang w:val="uk-UA"/>
        </w:rPr>
        <w:t xml:space="preserve"> </w:t>
      </w:r>
      <w:r>
        <w:rPr>
          <w:rFonts w:ascii="Times New Roman" w:hAnsi="Times New Roman"/>
          <w:b/>
          <w:sz w:val="28"/>
          <w:szCs w:val="28"/>
          <w:lang w:val="uk-UA"/>
        </w:rPr>
        <w:t>основу</w:t>
      </w:r>
      <w:r>
        <w:rPr>
          <w:rFonts w:ascii="Times New Roman" w:hAnsi="Times New Roman"/>
          <w:sz w:val="28"/>
          <w:szCs w:val="28"/>
          <w:lang w:val="uk-UA"/>
        </w:rPr>
        <w:t xml:space="preserve"> дослідження становлять наукові праці вітчизняних і зарубіжних учених у галузі соціальної роботи, соціології, психології, інформаційних технологій та державного управління. У роботі використано системний, аналітичний, порівняльний, соціологічний та міждисциплінарний підходи, що дозволяють комплексно дослідити </w:t>
      </w:r>
      <w:r>
        <w:rPr>
          <w:rFonts w:ascii="Times New Roman" w:hAnsi="Times New Roman"/>
          <w:sz w:val="28"/>
          <w:szCs w:val="28"/>
          <w:lang w:val="uk-UA"/>
        </w:rPr>
        <w:lastRenderedPageBreak/>
        <w:t>особливості надання соціальних послуг у цифровому форматі та оцінити їх якість.</w:t>
      </w:r>
    </w:p>
    <w:p w14:paraId="6BC45668"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Практична значущість роботи</w:t>
      </w:r>
      <w:r>
        <w:rPr>
          <w:rFonts w:ascii="Times New Roman" w:hAnsi="Times New Roman"/>
          <w:sz w:val="28"/>
          <w:szCs w:val="28"/>
          <w:lang w:val="uk-UA"/>
        </w:rPr>
        <w:t xml:space="preserve"> полягає у можливості використання результатів дослідження у діяльності центрів соціальних служб, громадських організацій, волонтерських об’єднань та органів місцевого самоврядування з метою вдосконалення цифрових консультаційних практик і підвищення якості соціальних послуг. Отримані результати можуть бути використані у навчальному процесі підготовки здобувачів вищої освіти за спеціальністю 231 «Соціальна робота», а також при розробці програм цифрової трансформації соціальної сфери.</w:t>
      </w:r>
    </w:p>
    <w:p w14:paraId="6633CF90"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Апробація дослідження.</w:t>
      </w:r>
      <w:r>
        <w:rPr>
          <w:rFonts w:ascii="Times New Roman" w:hAnsi="Times New Roman"/>
          <w:sz w:val="28"/>
          <w:szCs w:val="28"/>
          <w:lang w:val="uk-UA"/>
        </w:rPr>
        <w:t xml:space="preserve"> Результати дослідження оприлюднено на наукових конференціях:</w:t>
      </w:r>
    </w:p>
    <w:p w14:paraId="6CAEA3D9" w14:textId="77777777" w:rsidR="00EF2985" w:rsidRPr="00993978" w:rsidRDefault="00EB263C" w:rsidP="00D0077F">
      <w:pPr>
        <w:numPr>
          <w:ilvl w:val="0"/>
          <w:numId w:val="6"/>
        </w:numPr>
        <w:tabs>
          <w:tab w:val="clear" w:pos="720"/>
          <w:tab w:val="num" w:pos="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Бондаренко Є.С. Трансформація якості соціальної підтримки в умовах цифрових консультаційних практик. Правова та соціальна трансформація сучасного суспільства в умовах євроінтеграції України. Випуск 5. Збірник наукових праць за метеріалами V Всеукраїнської науково-практичної конференції (09 грудня 2025 р.). Ізмаїл: РВВ ІДГУ, 2025. 123 с. </w:t>
      </w:r>
    </w:p>
    <w:p w14:paraId="02D0A230" w14:textId="77777777" w:rsidR="00EF2985" w:rsidRPr="00993978" w:rsidRDefault="00EB263C" w:rsidP="00993978">
      <w:pPr>
        <w:numPr>
          <w:ilvl w:val="0"/>
          <w:numId w:val="6"/>
        </w:numPr>
        <w:tabs>
          <w:tab w:val="clear" w:pos="720"/>
          <w:tab w:val="num" w:pos="0"/>
        </w:tabs>
        <w:spacing w:after="0" w:line="360" w:lineRule="auto"/>
        <w:ind w:left="0" w:firstLine="709"/>
        <w:jc w:val="both"/>
        <w:rPr>
          <w:rFonts w:ascii="Times New Roman" w:hAnsi="Times New Roman"/>
          <w:b/>
          <w:bCs/>
          <w:sz w:val="28"/>
          <w:szCs w:val="28"/>
          <w:lang w:val="uk-UA"/>
        </w:rPr>
      </w:pPr>
      <w:r>
        <w:rPr>
          <w:rFonts w:ascii="Times New Roman" w:hAnsi="Times New Roman"/>
          <w:sz w:val="28"/>
          <w:szCs w:val="28"/>
          <w:lang w:val="uk-UA"/>
        </w:rPr>
        <w:t xml:space="preserve">Бондаренко Є.С. </w:t>
      </w:r>
      <w:r>
        <w:rPr>
          <w:rFonts w:ascii="Times New Roman" w:hAnsi="Times New Roman"/>
          <w:bCs/>
          <w:sz w:val="28"/>
          <w:szCs w:val="28"/>
          <w:lang w:val="uk-UA"/>
        </w:rPr>
        <w:t>Вплив цифрових технологій на професійну діяльність соціального працівника.</w:t>
      </w:r>
      <w:r>
        <w:rPr>
          <w:rFonts w:ascii="Times New Roman" w:hAnsi="Times New Roman"/>
          <w:b/>
          <w:bCs/>
          <w:sz w:val="28"/>
          <w:szCs w:val="28"/>
          <w:lang w:val="uk-UA"/>
        </w:rPr>
        <w:t xml:space="preserve"> </w:t>
      </w:r>
      <w:r>
        <w:rPr>
          <w:rFonts w:ascii="Times New Roman" w:hAnsi="Times New Roman"/>
          <w:sz w:val="28"/>
          <w:szCs w:val="28"/>
          <w:lang w:val="uk-UA"/>
        </w:rPr>
        <w:t xml:space="preserve">Всеукраїнська наукова інтернет-конференція «Вітчизняна наука на зламі епох: проблеми та перспективи розвитку» (19 травня 2026 р.). </w:t>
      </w:r>
    </w:p>
    <w:p w14:paraId="18EAC3B6" w14:textId="77777777" w:rsidR="00EF2985" w:rsidRPr="00993978" w:rsidRDefault="00EF2985" w:rsidP="00EF2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Структура роботи зумовлена метою та завданнями дослідження і складається зі вступу, трьох розділів, висновків, 10 таблиць, 6 рисунків, списку використаних джерел та додатків.</w:t>
      </w:r>
    </w:p>
    <w:p w14:paraId="0162E069" w14:textId="77777777" w:rsidR="000A0DB8" w:rsidRPr="00993978" w:rsidRDefault="000A0DB8" w:rsidP="00EF2985">
      <w:pPr>
        <w:spacing w:after="0" w:line="360" w:lineRule="auto"/>
        <w:ind w:firstLine="709"/>
        <w:jc w:val="both"/>
        <w:rPr>
          <w:rFonts w:ascii="Times New Roman" w:hAnsi="Times New Roman"/>
          <w:sz w:val="28"/>
          <w:szCs w:val="28"/>
          <w:lang w:val="uk-UA"/>
        </w:rPr>
      </w:pPr>
    </w:p>
    <w:p w14:paraId="4947C49B" w14:textId="77777777" w:rsidR="000A0DB8" w:rsidRPr="00993978" w:rsidRDefault="000A0DB8" w:rsidP="00EF2985">
      <w:pPr>
        <w:spacing w:after="0" w:line="360" w:lineRule="auto"/>
        <w:ind w:firstLine="709"/>
        <w:jc w:val="both"/>
        <w:rPr>
          <w:rFonts w:ascii="Times New Roman" w:hAnsi="Times New Roman"/>
          <w:sz w:val="28"/>
          <w:szCs w:val="28"/>
          <w:lang w:val="uk-UA"/>
        </w:rPr>
      </w:pPr>
    </w:p>
    <w:p w14:paraId="614E4B72" w14:textId="77777777" w:rsidR="000A0DB8" w:rsidRPr="00993978" w:rsidRDefault="00D416BF" w:rsidP="00EF2985">
      <w:pPr>
        <w:tabs>
          <w:tab w:val="left" w:pos="65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w:p>
    <w:p w14:paraId="13B13141"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0FBB401E"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1D97668A"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544572FB"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0758DF87"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7783F76F"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1CB862C6"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68B20CBC"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119F7B17"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2E41DF53" w14:textId="77777777" w:rsidR="00D416BF" w:rsidRPr="00993978" w:rsidRDefault="00D416BF" w:rsidP="00EF2985">
      <w:pPr>
        <w:tabs>
          <w:tab w:val="left" w:pos="6534"/>
        </w:tabs>
        <w:spacing w:after="0" w:line="360" w:lineRule="auto"/>
        <w:ind w:firstLine="709"/>
        <w:jc w:val="both"/>
        <w:rPr>
          <w:rFonts w:ascii="Times New Roman" w:hAnsi="Times New Roman"/>
          <w:sz w:val="28"/>
          <w:szCs w:val="28"/>
          <w:lang w:val="uk-UA"/>
        </w:rPr>
      </w:pPr>
    </w:p>
    <w:p w14:paraId="30212EF2" w14:textId="77777777" w:rsidR="00F22ADF" w:rsidRPr="00993978" w:rsidRDefault="00F22ADF" w:rsidP="00F22ADF">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РОЗДІЛ І. ТЕОРЕТИКО-МЕТОДОЛОГІЧНІ ОСНОВИ ДОСЛІДЖЕННЯ ЯКОСТІ СОЦІАЛЬНИХ ПОСЛУГ</w:t>
      </w:r>
    </w:p>
    <w:p w14:paraId="0412D1CF" w14:textId="77777777" w:rsidR="00F22ADF" w:rsidRPr="00993978" w:rsidRDefault="00F22ADF" w:rsidP="00F22ADF">
      <w:pPr>
        <w:spacing w:after="0" w:line="360" w:lineRule="auto"/>
        <w:ind w:firstLine="709"/>
        <w:jc w:val="center"/>
        <w:rPr>
          <w:rFonts w:ascii="Times New Roman" w:hAnsi="Times New Roman"/>
          <w:b/>
          <w:sz w:val="28"/>
          <w:szCs w:val="28"/>
          <w:lang w:val="uk-UA"/>
        </w:rPr>
      </w:pPr>
    </w:p>
    <w:p w14:paraId="6107A825"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1.1.  Поняття, принципи та критерії оцінювання якості соціальних послуг</w:t>
      </w:r>
    </w:p>
    <w:p w14:paraId="7DCA8B40"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5E4D0119"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Якість соціальних послуг є одним із центральних понять сучасної теорії та практики соціальної роботи, що відображає ступінь відповідності послуг, що надаються, потребам і очікуванням їхніх отримувачів, а також встановленим нормативним стандартам. У контексті зростаючої цифровізації системи соціального обслуговування це поняття набуває нових вимірів, що зумовлює необхідність його комплексного теоретичного аналізу. Без чіткого розуміння змісту, принципів та критеріїв оцінювання якості соціальних послуг неможливо об'єктивно оцінити ефективність цифрових консультаційних практик – що і є предметом цього дослідження.</w:t>
      </w:r>
    </w:p>
    <w:p w14:paraId="4B2FF6D2"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Концепт якості у сфері послуг має складну наукову генеалогію. Спочатку він сформувався у менеджменті та маркетингу послуг, і лише згодом увійшов до понятійного апарату соціальної роботи. Класичною у цій галузі є модель якості послуг SERVQUAL, розроблена А. Парасураманом, В. Цайтгамлом та Л. Беррі у 1988 році. Згідно з нею, сприймана якість послуги визначається через розрив (gap) між очікуваннями споживача та його фактичним сприйняттям отриманої послуги за п'ятьма вимірами: матеріальність, надійність, чуйність, впевненість та емпатія [Parasuraman, </w:t>
      </w:r>
      <w:r>
        <w:rPr>
          <w:rFonts w:ascii="Times New Roman" w:eastAsia="Times New Roman" w:hAnsi="Times New Roman"/>
          <w:sz w:val="28"/>
          <w:szCs w:val="28"/>
          <w:lang w:val="uk-UA" w:eastAsia="ru-RU"/>
        </w:rPr>
        <w:lastRenderedPageBreak/>
        <w:t>1988]. Ця модель надалі була широко адаптована для оцінювання якості соціальних послуг, хоча й потребувала певного коригування з огляду на специфіку соціальної роботи.</w:t>
      </w:r>
    </w:p>
    <w:p w14:paraId="0A1CAEDC"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сфері соціальної роботи якість послуг традиційно розглядається у трьох взаємопов'язаних площинах. По-перше, як </w:t>
      </w:r>
      <w:r>
        <w:rPr>
          <w:rFonts w:ascii="Times New Roman" w:eastAsia="Times New Roman" w:hAnsi="Times New Roman"/>
          <w:bCs/>
          <w:sz w:val="28"/>
          <w:szCs w:val="28"/>
          <w:lang w:val="uk-UA" w:eastAsia="ru-RU"/>
        </w:rPr>
        <w:t>якість структури</w:t>
      </w:r>
      <w:r>
        <w:rPr>
          <w:rFonts w:ascii="Times New Roman" w:eastAsia="Times New Roman" w:hAnsi="Times New Roman"/>
          <w:sz w:val="28"/>
          <w:szCs w:val="28"/>
          <w:lang w:val="uk-UA" w:eastAsia="ru-RU"/>
        </w:rPr>
        <w:t xml:space="preserve"> – наявність необхідних ресурсів, кваліфікованого персоналу, відповідної інфраструктури та інституційних умов для надання послуг. По-друге, як </w:t>
      </w:r>
      <w:r>
        <w:rPr>
          <w:rFonts w:ascii="Times New Roman" w:eastAsia="Times New Roman" w:hAnsi="Times New Roman"/>
          <w:bCs/>
          <w:sz w:val="28"/>
          <w:szCs w:val="28"/>
          <w:lang w:val="uk-UA" w:eastAsia="ru-RU"/>
        </w:rPr>
        <w:t>якість процесу</w:t>
      </w:r>
      <w:r>
        <w:rPr>
          <w:rFonts w:ascii="Times New Roman" w:eastAsia="Times New Roman" w:hAnsi="Times New Roman"/>
          <w:sz w:val="28"/>
          <w:szCs w:val="28"/>
          <w:lang w:val="uk-UA" w:eastAsia="ru-RU"/>
        </w:rPr>
        <w:t xml:space="preserve"> – відповідність способу надання послуг встановленим стандартам та методологічним вимогам. По-третє, як </w:t>
      </w:r>
      <w:r>
        <w:rPr>
          <w:rFonts w:ascii="Times New Roman" w:eastAsia="Times New Roman" w:hAnsi="Times New Roman"/>
          <w:bCs/>
          <w:sz w:val="28"/>
          <w:szCs w:val="28"/>
          <w:lang w:val="uk-UA" w:eastAsia="ru-RU"/>
        </w:rPr>
        <w:t>якість результату</w:t>
      </w:r>
      <w:r>
        <w:rPr>
          <w:rFonts w:ascii="Times New Roman" w:eastAsia="Times New Roman" w:hAnsi="Times New Roman"/>
          <w:sz w:val="28"/>
          <w:szCs w:val="28"/>
          <w:lang w:val="uk-UA" w:eastAsia="ru-RU"/>
        </w:rPr>
        <w:t xml:space="preserve"> – ступінь досягнення поставлених цілей та задоволення потреб отримувача послуг. Ця тривимірна модель якості, запропонована американським дослідником А. Донабедіаном ще у контексті охорони здоров'я, а згодом адаптована для соціальних послуг, є загальновизнаним аналітичним інструментом у цій сфері [Donabedian, 1966].</w:t>
      </w:r>
    </w:p>
    <w:p w14:paraId="096CD5DD"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 Україні нормативне визначення якості соціальних послуг закріплене у Законі України «Про соціальні послуги» (2019, №2671-VIII), відповідно до якого якість соціальної послуги – це «сукупність характеристик соціальної послуги, що зумовлюють її здатність задовольняти потреби осіб, які потребують соціального захисту» [Закон № 2671, 2019]. Закон визначає такі ключові принципи забезпечення якості: адресність та індивідуалізація послуг; доступність; повага до гідності та інтересів отримувача; результативність та ефективність; збереження конфіденційності; недискримінація. Ці принципи є нормативним орієнтиром для оцінки якості як традиційних, так і цифрових форм надання соціальних послуг.</w:t>
      </w:r>
    </w:p>
    <w:p w14:paraId="2F552BA5"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науковій літературі виокремлюють кілька ключових принципів забезпечення якості соціальних послуг. </w:t>
      </w:r>
      <w:r>
        <w:rPr>
          <w:rFonts w:ascii="Times New Roman" w:eastAsia="Times New Roman" w:hAnsi="Times New Roman"/>
          <w:bCs/>
          <w:sz w:val="28"/>
          <w:szCs w:val="28"/>
          <w:lang w:val="uk-UA" w:eastAsia="ru-RU"/>
        </w:rPr>
        <w:t>Принцип орієнтованості на клієнта</w:t>
      </w:r>
      <w:r>
        <w:rPr>
          <w:rFonts w:ascii="Times New Roman" w:eastAsia="Times New Roman" w:hAnsi="Times New Roman"/>
          <w:sz w:val="28"/>
          <w:szCs w:val="28"/>
          <w:lang w:val="uk-UA" w:eastAsia="ru-RU"/>
        </w:rPr>
        <w:t xml:space="preserve"> передбачає, що потреби, цінності та очікування отримувача послуги є головним орієнтиром при її проектуванні та оцінюванні. </w:t>
      </w:r>
      <w:r>
        <w:rPr>
          <w:rFonts w:ascii="Times New Roman" w:eastAsia="Times New Roman" w:hAnsi="Times New Roman"/>
          <w:bCs/>
          <w:sz w:val="28"/>
          <w:szCs w:val="28"/>
          <w:lang w:val="uk-UA" w:eastAsia="ru-RU"/>
        </w:rPr>
        <w:t>Принцип доказовості</w:t>
      </w:r>
      <w:r>
        <w:rPr>
          <w:rFonts w:ascii="Times New Roman" w:eastAsia="Times New Roman" w:hAnsi="Times New Roman"/>
          <w:sz w:val="28"/>
          <w:szCs w:val="28"/>
          <w:lang w:val="uk-UA" w:eastAsia="ru-RU"/>
        </w:rPr>
        <w:t xml:space="preserve"> означає, що надані послуги мають базуватися на науково обґрунтованих методах та підходах, ефективність яких підтверджена </w:t>
      </w:r>
      <w:r>
        <w:rPr>
          <w:rFonts w:ascii="Times New Roman" w:eastAsia="Times New Roman" w:hAnsi="Times New Roman"/>
          <w:sz w:val="28"/>
          <w:szCs w:val="28"/>
          <w:lang w:val="uk-UA" w:eastAsia="ru-RU"/>
        </w:rPr>
        <w:lastRenderedPageBreak/>
        <w:t xml:space="preserve">дослідженнями. </w:t>
      </w:r>
      <w:r>
        <w:rPr>
          <w:rFonts w:ascii="Times New Roman" w:eastAsia="Times New Roman" w:hAnsi="Times New Roman"/>
          <w:bCs/>
          <w:sz w:val="28"/>
          <w:szCs w:val="28"/>
          <w:lang w:val="uk-UA" w:eastAsia="ru-RU"/>
        </w:rPr>
        <w:t>Принцип безперервного вдосконалення</w:t>
      </w:r>
      <w:r>
        <w:rPr>
          <w:rFonts w:ascii="Times New Roman" w:eastAsia="Times New Roman" w:hAnsi="Times New Roman"/>
          <w:sz w:val="28"/>
          <w:szCs w:val="28"/>
          <w:lang w:val="uk-UA" w:eastAsia="ru-RU"/>
        </w:rPr>
        <w:t xml:space="preserve"> передбачає систематичний моніторинг якості та внесення відповідних коректив до змісту та форм надання послуг. </w:t>
      </w:r>
      <w:r>
        <w:rPr>
          <w:rFonts w:ascii="Times New Roman" w:eastAsia="Times New Roman" w:hAnsi="Times New Roman"/>
          <w:bCs/>
          <w:sz w:val="28"/>
          <w:szCs w:val="28"/>
          <w:lang w:val="uk-UA" w:eastAsia="ru-RU"/>
        </w:rPr>
        <w:t>Принцип підзвітності</w:t>
      </w:r>
      <w:r>
        <w:rPr>
          <w:rFonts w:ascii="Times New Roman" w:eastAsia="Times New Roman" w:hAnsi="Times New Roman"/>
          <w:sz w:val="28"/>
          <w:szCs w:val="28"/>
          <w:lang w:val="uk-UA" w:eastAsia="ru-RU"/>
        </w:rPr>
        <w:t xml:space="preserve"> означає, що надавач послуг несе відповідальність за їх якість перед отримувачами, а також перед уповноваженими органами нагляду та контролю [Семигіна, 2020; Романюк, 2022].</w:t>
      </w:r>
    </w:p>
    <w:p w14:paraId="717820CC" w14:textId="77777777" w:rsidR="000A4AA2" w:rsidRPr="00993978" w:rsidRDefault="000A4AA2" w:rsidP="000A4AA2">
      <w:pPr>
        <w:spacing w:after="0" w:line="360" w:lineRule="auto"/>
        <w:jc w:val="both"/>
        <w:rPr>
          <w:rFonts w:ascii="Times New Roman" w:eastAsia="Times New Roman" w:hAnsi="Times New Roman"/>
          <w:sz w:val="28"/>
          <w:szCs w:val="28"/>
          <w:lang w:val="uk-UA" w:eastAsia="ru-RU"/>
        </w:rPr>
      </w:pPr>
    </w:p>
    <w:p w14:paraId="288F135E" w14:textId="77777777" w:rsidR="000A4AA2" w:rsidRPr="00993978" w:rsidRDefault="000A4AA2" w:rsidP="000A4AA2">
      <w:pPr>
        <w:spacing w:after="0" w:line="320" w:lineRule="auto"/>
        <w:jc w:val="right"/>
        <w:rPr>
          <w:rFonts w:ascii="Times New Roman" w:eastAsia="Times New Roman" w:hAnsi="Times New Roman"/>
          <w:b/>
          <w:bCs/>
          <w:iCs/>
          <w:sz w:val="28"/>
          <w:szCs w:val="26"/>
          <w:lang w:val="uk-UA" w:eastAsia="ru-RU"/>
        </w:rPr>
      </w:pPr>
    </w:p>
    <w:p w14:paraId="13E6CE4C" w14:textId="77777777" w:rsidR="000A4AA2" w:rsidRPr="00993978" w:rsidRDefault="000A4AA2" w:rsidP="000A4AA2">
      <w:pPr>
        <w:spacing w:after="0" w:line="320" w:lineRule="auto"/>
        <w:jc w:val="right"/>
        <w:rPr>
          <w:rFonts w:ascii="Times New Roman" w:eastAsia="Times New Roman" w:hAnsi="Times New Roman"/>
          <w:b/>
          <w:bCs/>
          <w:iCs/>
          <w:sz w:val="28"/>
          <w:szCs w:val="26"/>
          <w:lang w:val="uk-UA" w:eastAsia="ru-RU"/>
        </w:rPr>
      </w:pPr>
      <w:r>
        <w:rPr>
          <w:rFonts w:ascii="Times New Roman" w:eastAsia="Times New Roman" w:hAnsi="Times New Roman"/>
          <w:b/>
          <w:bCs/>
          <w:iCs/>
          <w:sz w:val="28"/>
          <w:szCs w:val="26"/>
          <w:lang w:val="uk-UA" w:eastAsia="ru-RU"/>
        </w:rPr>
        <w:t xml:space="preserve">Таблиця 1.1. </w:t>
      </w:r>
    </w:p>
    <w:p w14:paraId="18850896" w14:textId="77777777" w:rsidR="000A4AA2" w:rsidRPr="00993978" w:rsidRDefault="000A4AA2" w:rsidP="000A4AA2">
      <w:pPr>
        <w:spacing w:after="0" w:line="320" w:lineRule="auto"/>
        <w:jc w:val="center"/>
        <w:rPr>
          <w:rFonts w:ascii="Times New Roman" w:eastAsia="Times New Roman" w:hAnsi="Times New Roman"/>
          <w:b/>
          <w:sz w:val="32"/>
          <w:szCs w:val="28"/>
          <w:lang w:val="uk-UA" w:eastAsia="ru-RU"/>
        </w:rPr>
      </w:pPr>
      <w:r>
        <w:rPr>
          <w:rFonts w:ascii="Times New Roman" w:eastAsia="Times New Roman" w:hAnsi="Times New Roman"/>
          <w:b/>
          <w:bCs/>
          <w:iCs/>
          <w:sz w:val="28"/>
          <w:szCs w:val="26"/>
          <w:lang w:val="uk-UA" w:eastAsia="ru-RU"/>
        </w:rPr>
        <w:t>Основні підходи до визначення якості соціальних послуг</w:t>
      </w:r>
    </w:p>
    <w:tbl>
      <w:tblPr>
        <w:tblStyle w:val="aa"/>
        <w:tblW w:w="9026" w:type="dxa"/>
        <w:tblLook w:val="0000" w:firstRow="0" w:lastRow="0" w:firstColumn="0" w:lastColumn="0" w:noHBand="0" w:noVBand="0"/>
      </w:tblPr>
      <w:tblGrid>
        <w:gridCol w:w="2242"/>
        <w:gridCol w:w="3404"/>
        <w:gridCol w:w="3380"/>
      </w:tblGrid>
      <w:tr w:rsidR="000A4AA2" w:rsidRPr="00993978" w14:paraId="5E927814" w14:textId="77777777" w:rsidTr="00195BDA">
        <w:tc>
          <w:tcPr>
            <w:tcW w:w="2200" w:type="dxa"/>
          </w:tcPr>
          <w:p w14:paraId="42A72734" w14:textId="77777777" w:rsidR="000A4AA2" w:rsidRPr="00195BDA" w:rsidRDefault="000A4AA2" w:rsidP="000A4AA2">
            <w:pPr>
              <w:jc w:val="center"/>
              <w:rPr>
                <w:rFonts w:ascii="Times New Roman" w:eastAsia="Times New Roman" w:hAnsi="Times New Roman"/>
                <w:b/>
                <w:sz w:val="28"/>
                <w:szCs w:val="28"/>
                <w:lang w:val="uk-UA" w:eastAsia="ru-RU"/>
              </w:rPr>
            </w:pPr>
            <w:r>
              <w:rPr>
                <w:rFonts w:ascii="Times New Roman" w:eastAsia="Times New Roman" w:hAnsi="Times New Roman"/>
                <w:b/>
                <w:bCs/>
                <w:sz w:val="24"/>
                <w:szCs w:val="24"/>
                <w:lang w:val="uk-UA" w:eastAsia="ru-RU"/>
              </w:rPr>
              <w:t>Підхід</w:t>
            </w:r>
          </w:p>
        </w:tc>
        <w:tc>
          <w:tcPr>
            <w:tcW w:w="3426" w:type="dxa"/>
          </w:tcPr>
          <w:p w14:paraId="2197BF06" w14:textId="77777777" w:rsidR="000A4AA2" w:rsidRPr="00195BDA" w:rsidRDefault="000A4AA2" w:rsidP="000A4AA2">
            <w:pPr>
              <w:jc w:val="center"/>
              <w:rPr>
                <w:rFonts w:ascii="Times New Roman" w:eastAsia="Times New Roman" w:hAnsi="Times New Roman"/>
                <w:b/>
                <w:sz w:val="28"/>
                <w:szCs w:val="28"/>
                <w:lang w:val="uk-UA" w:eastAsia="ru-RU"/>
              </w:rPr>
            </w:pPr>
            <w:r>
              <w:rPr>
                <w:rFonts w:ascii="Times New Roman" w:eastAsia="Times New Roman" w:hAnsi="Times New Roman"/>
                <w:b/>
                <w:bCs/>
                <w:sz w:val="24"/>
                <w:szCs w:val="24"/>
                <w:lang w:val="uk-UA" w:eastAsia="ru-RU"/>
              </w:rPr>
              <w:t>Ключові представники</w:t>
            </w:r>
          </w:p>
        </w:tc>
        <w:tc>
          <w:tcPr>
            <w:tcW w:w="3400" w:type="dxa"/>
          </w:tcPr>
          <w:p w14:paraId="55880772" w14:textId="77777777" w:rsidR="000A4AA2" w:rsidRPr="00195BDA" w:rsidRDefault="000A4AA2" w:rsidP="000A4AA2">
            <w:pPr>
              <w:jc w:val="center"/>
              <w:rPr>
                <w:rFonts w:ascii="Times New Roman" w:eastAsia="Times New Roman" w:hAnsi="Times New Roman"/>
                <w:b/>
                <w:sz w:val="28"/>
                <w:szCs w:val="28"/>
                <w:lang w:val="uk-UA" w:eastAsia="ru-RU"/>
              </w:rPr>
            </w:pPr>
            <w:r>
              <w:rPr>
                <w:rFonts w:ascii="Times New Roman" w:eastAsia="Times New Roman" w:hAnsi="Times New Roman"/>
                <w:b/>
                <w:bCs/>
                <w:sz w:val="24"/>
                <w:szCs w:val="24"/>
                <w:lang w:val="uk-UA" w:eastAsia="ru-RU"/>
              </w:rPr>
              <w:t>Визначення якості</w:t>
            </w:r>
          </w:p>
        </w:tc>
      </w:tr>
      <w:tr w:rsidR="000A4AA2" w:rsidRPr="00993978" w14:paraId="0581DF11" w14:textId="77777777" w:rsidTr="00195BDA">
        <w:tc>
          <w:tcPr>
            <w:tcW w:w="2200" w:type="dxa"/>
          </w:tcPr>
          <w:p w14:paraId="34158509"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Менеджерський (TQM)</w:t>
            </w:r>
          </w:p>
        </w:tc>
        <w:tc>
          <w:tcPr>
            <w:tcW w:w="3426" w:type="dxa"/>
          </w:tcPr>
          <w:p w14:paraId="389D8815"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 Демінг, Дж. Джуран</w:t>
            </w:r>
          </w:p>
        </w:tc>
        <w:tc>
          <w:tcPr>
            <w:tcW w:w="3400" w:type="dxa"/>
          </w:tcPr>
          <w:p w14:paraId="0E7A50FE"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Відповідність стандартам, відсутність дефектів, задоволення очікувань споживача</w:t>
            </w:r>
          </w:p>
        </w:tc>
      </w:tr>
      <w:tr w:rsidR="000A4AA2" w:rsidRPr="00930153" w14:paraId="1C63772B" w14:textId="77777777" w:rsidTr="00195BDA">
        <w:tc>
          <w:tcPr>
            <w:tcW w:w="2200" w:type="dxa"/>
          </w:tcPr>
          <w:p w14:paraId="62574AE4"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Маркетинговий (SERVQUAL)</w:t>
            </w:r>
          </w:p>
        </w:tc>
        <w:tc>
          <w:tcPr>
            <w:tcW w:w="3426" w:type="dxa"/>
          </w:tcPr>
          <w:p w14:paraId="49E1041D"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Парасураман, Цайтгамл, Беррі (1988)</w:t>
            </w:r>
          </w:p>
        </w:tc>
        <w:tc>
          <w:tcPr>
            <w:tcW w:w="3400" w:type="dxa"/>
          </w:tcPr>
          <w:p w14:paraId="5867ACF7"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Розрив між очікуваннями та сприйняттям за 5 вимірами (надійність, чуйність, впевненість, емпатія, матеріальність)</w:t>
            </w:r>
          </w:p>
        </w:tc>
      </w:tr>
      <w:tr w:rsidR="000A4AA2" w:rsidRPr="00993978" w14:paraId="2BE67BA6" w14:textId="77777777" w:rsidTr="00195BDA">
        <w:tc>
          <w:tcPr>
            <w:tcW w:w="2200" w:type="dxa"/>
          </w:tcPr>
          <w:p w14:paraId="2EDF74A1"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Медико-соціальний (Донабедіан)</w:t>
            </w:r>
          </w:p>
        </w:tc>
        <w:tc>
          <w:tcPr>
            <w:tcW w:w="3426" w:type="dxa"/>
          </w:tcPr>
          <w:p w14:paraId="4D8A0D51"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А. Донабедіан (1966)</w:t>
            </w:r>
          </w:p>
        </w:tc>
        <w:tc>
          <w:tcPr>
            <w:tcW w:w="3400" w:type="dxa"/>
          </w:tcPr>
          <w:p w14:paraId="442DCB8B"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Якість структури + процесу + результату</w:t>
            </w:r>
          </w:p>
        </w:tc>
      </w:tr>
      <w:tr w:rsidR="000A4AA2" w:rsidRPr="00993978" w14:paraId="0531DB77" w14:textId="77777777" w:rsidTr="00195BDA">
        <w:tc>
          <w:tcPr>
            <w:tcW w:w="2200" w:type="dxa"/>
          </w:tcPr>
          <w:p w14:paraId="44225536"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Нормативно-правовий</w:t>
            </w:r>
          </w:p>
        </w:tc>
        <w:tc>
          <w:tcPr>
            <w:tcW w:w="3426" w:type="dxa"/>
          </w:tcPr>
          <w:p w14:paraId="742BE483"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ЄС, Україна (Закон №2671)</w:t>
            </w:r>
          </w:p>
        </w:tc>
        <w:tc>
          <w:tcPr>
            <w:tcW w:w="3400" w:type="dxa"/>
          </w:tcPr>
          <w:p w14:paraId="52EA6502"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Відповідність встановленим стандартам, задоволення потреб отримувача</w:t>
            </w:r>
          </w:p>
        </w:tc>
      </w:tr>
      <w:tr w:rsidR="000A4AA2" w:rsidRPr="00930153" w14:paraId="170C6244" w14:textId="77777777" w:rsidTr="00195BDA">
        <w:tc>
          <w:tcPr>
            <w:tcW w:w="2200" w:type="dxa"/>
          </w:tcPr>
          <w:p w14:paraId="64BD209F"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Клієнтоцентричний</w:t>
            </w:r>
          </w:p>
        </w:tc>
        <w:tc>
          <w:tcPr>
            <w:tcW w:w="3426" w:type="dxa"/>
          </w:tcPr>
          <w:p w14:paraId="46995D09"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IFSW, Семигіна Т.В.</w:t>
            </w:r>
          </w:p>
        </w:tc>
        <w:tc>
          <w:tcPr>
            <w:tcW w:w="3400" w:type="dxa"/>
          </w:tcPr>
          <w:p w14:paraId="049303FB" w14:textId="77777777" w:rsidR="000A4AA2" w:rsidRPr="00993978" w:rsidRDefault="000A4AA2" w:rsidP="000A4AA2">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Задоволеність отримувача, відповідність його індивідуальним потребам і цінностям</w:t>
            </w:r>
          </w:p>
        </w:tc>
      </w:tr>
    </w:tbl>
    <w:p w14:paraId="51229961" w14:textId="77777777" w:rsidR="000A4AA2" w:rsidRPr="00993978" w:rsidRDefault="000A4AA2" w:rsidP="000A4AA2">
      <w:pPr>
        <w:spacing w:after="120" w:line="360" w:lineRule="auto"/>
        <w:ind w:firstLine="708"/>
        <w:jc w:val="both"/>
        <w:rPr>
          <w:rFonts w:ascii="Times New Roman" w:eastAsia="Times New Roman" w:hAnsi="Times New Roman"/>
          <w:sz w:val="28"/>
          <w:szCs w:val="28"/>
          <w:lang w:val="uk-UA" w:eastAsia="ru-RU"/>
        </w:rPr>
      </w:pPr>
    </w:p>
    <w:p w14:paraId="3762ED70"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Аналіз наукових підходів до визначення якості соціальних послуг (Табл. 1.1.) дозволяє зробити висновок, що незважаючи на різні методологічні позиції, усі підходи сходяться в одному: якість є відносним поняттям, що вимірюється у співвідношенні з певним еталоном – будь то стандарт, очікування клієнта чи задекларована мета послуги. При цьому у сфері соціальної роботи клієнтоцентричний підхід є домінуючим, оскільки </w:t>
      </w:r>
      <w:r>
        <w:rPr>
          <w:rFonts w:ascii="Times New Roman" w:eastAsia="Times New Roman" w:hAnsi="Times New Roman"/>
          <w:sz w:val="28"/>
          <w:szCs w:val="28"/>
          <w:lang w:val="uk-UA" w:eastAsia="ru-RU"/>
        </w:rPr>
        <w:lastRenderedPageBreak/>
        <w:t>відображає фундаментальні цінності соціальної роботи – повагу до людської гідності та самовизначення клієнта.</w:t>
      </w:r>
    </w:p>
    <w:p w14:paraId="693BBB4D"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Критерії оцінювання якості соціальних послуг є конкретизацією загальних принципів у вигляді вимірюваних показників. У системі оцінювання якості розрізняють кількісні та якісні критерії. </w:t>
      </w:r>
      <w:r>
        <w:rPr>
          <w:rFonts w:ascii="Times New Roman" w:eastAsia="Times New Roman" w:hAnsi="Times New Roman"/>
          <w:bCs/>
          <w:sz w:val="28"/>
          <w:szCs w:val="28"/>
          <w:lang w:val="uk-UA" w:eastAsia="ru-RU"/>
        </w:rPr>
        <w:t>Кількісні критерії</w:t>
      </w:r>
      <w:r>
        <w:rPr>
          <w:rFonts w:ascii="Times New Roman" w:eastAsia="Times New Roman" w:hAnsi="Times New Roman"/>
          <w:sz w:val="28"/>
          <w:szCs w:val="28"/>
          <w:lang w:val="uk-UA" w:eastAsia="ru-RU"/>
        </w:rPr>
        <w:t xml:space="preserve"> включають: охоплення (відсоток осіб з числа цільової групи, що фактично отримали послугу); своєчасність (час від звернення до отримання послуги); тривалість (час надання окремої послуги); регулярність (частота надання послуги); вартість (витрати на одну послугу). </w:t>
      </w:r>
      <w:r>
        <w:rPr>
          <w:rFonts w:ascii="Times New Roman" w:eastAsia="Times New Roman" w:hAnsi="Times New Roman"/>
          <w:bCs/>
          <w:sz w:val="28"/>
          <w:szCs w:val="28"/>
          <w:lang w:val="uk-UA" w:eastAsia="ru-RU"/>
        </w:rPr>
        <w:t>Якісні критерії</w:t>
      </w:r>
      <w:r>
        <w:rPr>
          <w:rFonts w:ascii="Times New Roman" w:eastAsia="Times New Roman" w:hAnsi="Times New Roman"/>
          <w:sz w:val="28"/>
          <w:szCs w:val="28"/>
          <w:lang w:val="uk-UA" w:eastAsia="ru-RU"/>
        </w:rPr>
        <w:t xml:space="preserve"> охоплюють: відповідність послуги потребам клієнта; задоволеність клієнта; дотримання стандартів конфіденційності; рівень кваліфікації персоналу; наявність механізмів оскарження та зворотного зв'язку; дотримання принципу добровільності [Зайченко, 2021; Заброцька, 2021].</w:t>
      </w:r>
    </w:p>
    <w:p w14:paraId="338D5C1B"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Для цифрових форм надання соціальних послуг традиційні критерії якості зберігають свою актуальність, проте потребують доповнення специфічними цифровими вимірами. Зокрема, Дж. Парк та Л. Лонг (2021) виокремлюють такі додаткові критерії якості цифрових соціальних послуг: </w:t>
      </w:r>
      <w:r>
        <w:rPr>
          <w:rFonts w:ascii="Times New Roman" w:eastAsia="Times New Roman" w:hAnsi="Times New Roman"/>
          <w:bCs/>
          <w:sz w:val="28"/>
          <w:szCs w:val="28"/>
          <w:lang w:val="uk-UA" w:eastAsia="ru-RU"/>
        </w:rPr>
        <w:t>цифрова доступність</w:t>
      </w:r>
      <w:r>
        <w:rPr>
          <w:rFonts w:ascii="Times New Roman" w:eastAsia="Times New Roman" w:hAnsi="Times New Roman"/>
          <w:sz w:val="28"/>
          <w:szCs w:val="28"/>
          <w:lang w:val="uk-UA" w:eastAsia="ru-RU"/>
        </w:rPr>
        <w:t xml:space="preserve"> (наявність технічних пристроїв та стабільного інтернет-з'єднання у клієнтів); </w:t>
      </w:r>
      <w:r>
        <w:rPr>
          <w:rFonts w:ascii="Times New Roman" w:eastAsia="Times New Roman" w:hAnsi="Times New Roman"/>
          <w:bCs/>
          <w:sz w:val="28"/>
          <w:szCs w:val="28"/>
          <w:lang w:val="uk-UA" w:eastAsia="ru-RU"/>
        </w:rPr>
        <w:t>юзабіліті</w:t>
      </w:r>
      <w:r>
        <w:rPr>
          <w:rFonts w:ascii="Times New Roman" w:eastAsia="Times New Roman" w:hAnsi="Times New Roman"/>
          <w:sz w:val="28"/>
          <w:szCs w:val="28"/>
          <w:lang w:val="uk-UA" w:eastAsia="ru-RU"/>
        </w:rPr>
        <w:t xml:space="preserve"> (зручність та інтуїтивність інтерфейсу цифрової платформи); </w:t>
      </w:r>
      <w:r>
        <w:rPr>
          <w:rFonts w:ascii="Times New Roman" w:eastAsia="Times New Roman" w:hAnsi="Times New Roman"/>
          <w:bCs/>
          <w:sz w:val="28"/>
          <w:szCs w:val="28"/>
          <w:lang w:val="uk-UA" w:eastAsia="ru-RU"/>
        </w:rPr>
        <w:t>цифрова безпека та конфіденційність</w:t>
      </w:r>
      <w:r>
        <w:rPr>
          <w:rFonts w:ascii="Times New Roman" w:eastAsia="Times New Roman" w:hAnsi="Times New Roman"/>
          <w:sz w:val="28"/>
          <w:szCs w:val="28"/>
          <w:lang w:val="uk-UA" w:eastAsia="ru-RU"/>
        </w:rPr>
        <w:t xml:space="preserve"> (захист персональних даних клієнтів); </w:t>
      </w:r>
      <w:r>
        <w:rPr>
          <w:rFonts w:ascii="Times New Roman" w:eastAsia="Times New Roman" w:hAnsi="Times New Roman"/>
          <w:bCs/>
          <w:sz w:val="28"/>
          <w:szCs w:val="28"/>
          <w:lang w:val="uk-UA" w:eastAsia="ru-RU"/>
        </w:rPr>
        <w:t>якість технічного зв'язку</w:t>
      </w:r>
      <w:r>
        <w:rPr>
          <w:rFonts w:ascii="Times New Roman" w:eastAsia="Times New Roman" w:hAnsi="Times New Roman"/>
          <w:sz w:val="28"/>
          <w:szCs w:val="28"/>
          <w:lang w:val="uk-UA" w:eastAsia="ru-RU"/>
        </w:rPr>
        <w:t xml:space="preserve"> (стабільність відеоз'єднання під час онлайн-консультацій); </w:t>
      </w:r>
      <w:r>
        <w:rPr>
          <w:rFonts w:ascii="Times New Roman" w:eastAsia="Times New Roman" w:hAnsi="Times New Roman"/>
          <w:bCs/>
          <w:sz w:val="28"/>
          <w:szCs w:val="28"/>
          <w:lang w:val="uk-UA" w:eastAsia="ru-RU"/>
        </w:rPr>
        <w:t>цифрова компетентність персоналу</w:t>
      </w:r>
      <w:r>
        <w:rPr>
          <w:rFonts w:ascii="Times New Roman" w:eastAsia="Times New Roman" w:hAnsi="Times New Roman"/>
          <w:sz w:val="28"/>
          <w:szCs w:val="28"/>
          <w:lang w:val="uk-UA" w:eastAsia="ru-RU"/>
        </w:rPr>
        <w:t xml:space="preserve"> (вміння соціального працівника ефективно використовувати цифрові інструменти) [Park, 2021; Андрущенко, 2021].</w:t>
      </w:r>
    </w:p>
    <w:p w14:paraId="51133732"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Особливою методологічною проблемою є оцінювання якості онлайн-консультацій як специфічного виду соціальних послуг. Традиційні методи оцінювання, орієнтовані на очні форми взаємодії, не завжди застосовні до дистанційного формату. Наприклад, невербальні компоненти комунікації – мова тіла, мікровирази обличчя, дистанція між учасниками – суттєво обмежені або недоступні у форматі відеоконференції, що ускладнює оцінку </w:t>
      </w:r>
      <w:r>
        <w:rPr>
          <w:rFonts w:ascii="Times New Roman" w:eastAsia="Times New Roman" w:hAnsi="Times New Roman"/>
          <w:sz w:val="28"/>
          <w:szCs w:val="28"/>
          <w:lang w:val="uk-UA" w:eastAsia="ru-RU"/>
        </w:rPr>
        <w:lastRenderedPageBreak/>
        <w:t>такого критерію якості, як «емпатія» за моделлю SERVQUAL. Це спонукає дослідників розробляти специфічні інструменти оцінювання якості цифрових консультаційних практик, адаптовані до дистанційного контексту [Семигіна, 2020].</w:t>
      </w:r>
    </w:p>
    <w:p w14:paraId="69396CA0"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Суттєвим є також питання суб'єктів оцінювання якості соціальних послуг. Традиційно виокремлюють три типи оцінювання: </w:t>
      </w:r>
      <w:r>
        <w:rPr>
          <w:rFonts w:ascii="Times New Roman" w:eastAsia="Times New Roman" w:hAnsi="Times New Roman"/>
          <w:bCs/>
          <w:sz w:val="28"/>
          <w:szCs w:val="28"/>
          <w:lang w:val="uk-UA" w:eastAsia="ru-RU"/>
        </w:rPr>
        <w:t>внутрішнє</w:t>
      </w:r>
      <w:r>
        <w:rPr>
          <w:rFonts w:ascii="Times New Roman" w:eastAsia="Times New Roman" w:hAnsi="Times New Roman"/>
          <w:sz w:val="28"/>
          <w:szCs w:val="28"/>
          <w:lang w:val="uk-UA" w:eastAsia="ru-RU"/>
        </w:rPr>
        <w:t xml:space="preserve"> (самооцінка надавача послуг); </w:t>
      </w:r>
      <w:r>
        <w:rPr>
          <w:rFonts w:ascii="Times New Roman" w:eastAsia="Times New Roman" w:hAnsi="Times New Roman"/>
          <w:bCs/>
          <w:sz w:val="28"/>
          <w:szCs w:val="28"/>
          <w:lang w:val="uk-UA" w:eastAsia="ru-RU"/>
        </w:rPr>
        <w:t>зовнішнє</w:t>
      </w:r>
      <w:r>
        <w:rPr>
          <w:rFonts w:ascii="Times New Roman" w:eastAsia="Times New Roman" w:hAnsi="Times New Roman"/>
          <w:sz w:val="28"/>
          <w:szCs w:val="28"/>
          <w:lang w:val="uk-UA" w:eastAsia="ru-RU"/>
        </w:rPr>
        <w:t xml:space="preserve"> (оцінка незалежними органами або уповноваженими структурами); </w:t>
      </w:r>
      <w:r>
        <w:rPr>
          <w:rFonts w:ascii="Times New Roman" w:eastAsia="Times New Roman" w:hAnsi="Times New Roman"/>
          <w:bCs/>
          <w:sz w:val="28"/>
          <w:szCs w:val="28"/>
          <w:lang w:val="uk-UA" w:eastAsia="ru-RU"/>
        </w:rPr>
        <w:t>споживацьке</w:t>
      </w:r>
      <w:r>
        <w:rPr>
          <w:rFonts w:ascii="Times New Roman" w:eastAsia="Times New Roman" w:hAnsi="Times New Roman"/>
          <w:sz w:val="28"/>
          <w:szCs w:val="28"/>
          <w:lang w:val="uk-UA" w:eastAsia="ru-RU"/>
        </w:rPr>
        <w:t xml:space="preserve"> (оцінка самими отримувачами послуг). У контексті цифровізації особливого значення набуває споживацьке оцінювання, оскільки цифрові платформи дозволяють збирати зворотній зв'язок від клієнтів у режимі реального часу та в автоматизований спосіб, що значно підвищує оперативність та масштаб оцінювання якості [Безугла, 2022].</w:t>
      </w:r>
    </w:p>
    <w:p w14:paraId="5B0932CE"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Важливою теоретичною рамкою для аналізу якості соціальних послуг є концепція </w:t>
      </w:r>
      <w:r>
        <w:rPr>
          <w:rFonts w:ascii="Times New Roman" w:eastAsia="Times New Roman" w:hAnsi="Times New Roman"/>
          <w:bCs/>
          <w:sz w:val="28"/>
          <w:szCs w:val="28"/>
          <w:lang w:val="uk-UA" w:eastAsia="ru-RU"/>
        </w:rPr>
        <w:t>«ціннісного ланцюга» (value chain)</w:t>
      </w:r>
      <w:r>
        <w:rPr>
          <w:rFonts w:ascii="Times New Roman" w:eastAsia="Times New Roman" w:hAnsi="Times New Roman"/>
          <w:sz w:val="28"/>
          <w:szCs w:val="28"/>
          <w:lang w:val="uk-UA" w:eastAsia="ru-RU"/>
        </w:rPr>
        <w:t xml:space="preserve"> соціальної послуги, адаптована для соціальної роботи дослідниками Великобританії в рамках реформи системи соціального обслуговування (2012). Відповідно до неї, якість соціальної послуги формується на кожному з ланцюгів від ухвалення рішення про надання послуги до досягнення результату: планування → призначення → виконання → моніторинг → оцінка. Зниження якості на будь-якому з цих ланцюгів негативно впливає на кінцевий результат. Для цифрових послуг ця концепція особливо актуальна, оскільки дистанційний формат ускладнює контроль за окремими ланками [Поліщук, 2020].</w:t>
      </w:r>
    </w:p>
    <w:p w14:paraId="0AEEEC45" w14:textId="77777777" w:rsidR="000A4AA2" w:rsidRPr="00993978" w:rsidRDefault="000A4AA2" w:rsidP="000A4AA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Таким чином, поняття якості соціальних послуг є багатовимірним, теоретично насиченим концептом, що поєднує нормативні, управлінські, клієнтоцентричні та технологічні виміри. Принципи та критерії оцінювання якості, розроблені у рамках різних наукових підходів, формують аналітичний інструментарій для дослідження якості цифрових консультаційних практик, що є предметом розгляду у наступних підрозділах.</w:t>
      </w:r>
    </w:p>
    <w:p w14:paraId="0AEAC7F8"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6C0631B5"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1.2.  Цифрові технології у сфері соціальної роботи: сутність та функціональне значення</w:t>
      </w:r>
    </w:p>
    <w:p w14:paraId="44ADEAEF"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5F1AA82A"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Цифровізація є однією з найбільш масштабних трансформацій сучасного суспільства, що охоплює всі сфери людської діяльності – від економіки та управління до освіти та соціального обслуговування. У сфері соціальної роботи цифрові технології відіграють дедалі важливішу роль, змінюючи як зміст і форми надання соціальних послуг, так і організаційну культуру та фахову ідентичність соціального працівника. Дослідження цього явища потребує чіткого визначення ключових понять та аналізу функціонального значення цифрових технологій у контексті соціальної роботи.</w:t>
      </w:r>
    </w:p>
    <w:p w14:paraId="1CB24F31"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широкому розумінні </w:t>
      </w:r>
      <w:r>
        <w:rPr>
          <w:rFonts w:ascii="Times New Roman" w:eastAsia="Times New Roman" w:hAnsi="Times New Roman"/>
          <w:bCs/>
          <w:sz w:val="28"/>
          <w:szCs w:val="28"/>
          <w:lang w:val="uk-UA" w:eastAsia="ru-RU"/>
        </w:rPr>
        <w:t>цифровізація</w:t>
      </w:r>
      <w:r>
        <w:rPr>
          <w:rFonts w:ascii="Times New Roman" w:eastAsia="Times New Roman" w:hAnsi="Times New Roman"/>
          <w:sz w:val="28"/>
          <w:szCs w:val="28"/>
          <w:lang w:val="uk-UA" w:eastAsia="ru-RU"/>
        </w:rPr>
        <w:t xml:space="preserve"> (digitalization) – це процес перетворення аналогової інформації та процесів на цифровий формат із застосуванням інформаційно-комунікаційних технологій (ІКТ). У вузькому контексті соціальної роботи цифровізація означає впровадження цифрових інструментів та платформ у процеси надання соціальних послуг, управління соціальними організаціями, фахової підготовки та взаємодії між соціальними працівниками та клієнтами [Карпенко, 2022; Войтович, 2021]. Варто розрізняти поняття «цифровізація» (digitalization) та «оцифрування» (digitization): перше означає системне переосмислення та перебудову процесів з використанням цифрових технологій, тоді як друге стосується лише технічного перекладу аналогових даних у цифровий формат.</w:t>
      </w:r>
    </w:p>
    <w:p w14:paraId="7F94CEE8" w14:textId="77777777" w:rsidR="00C1625D"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науковій літературі виокремлюють кілька ключових класів цифрових технологій, що використовуються у сфері соціальних послуг. </w:t>
      </w:r>
      <w:r>
        <w:rPr>
          <w:rFonts w:ascii="Times New Roman" w:eastAsia="Times New Roman" w:hAnsi="Times New Roman"/>
          <w:bCs/>
          <w:sz w:val="28"/>
          <w:szCs w:val="28"/>
          <w:lang w:val="uk-UA" w:eastAsia="ru-RU"/>
        </w:rPr>
        <w:t>Комунікаційні технології</w:t>
      </w:r>
      <w:r>
        <w:rPr>
          <w:rFonts w:ascii="Times New Roman" w:eastAsia="Times New Roman" w:hAnsi="Times New Roman"/>
          <w:sz w:val="28"/>
          <w:szCs w:val="28"/>
          <w:lang w:val="uk-UA" w:eastAsia="ru-RU"/>
        </w:rPr>
        <w:t xml:space="preserve"> – відеоконференц-зв'язок (Zoom, Microsoft Teams, Google Meet), месенджери та чат-боти, електронна пошта – забезпечують дистанційну взаємодію між соціальним працівником та клієнтом. </w:t>
      </w:r>
      <w:r>
        <w:rPr>
          <w:rFonts w:ascii="Times New Roman" w:eastAsia="Times New Roman" w:hAnsi="Times New Roman"/>
          <w:bCs/>
          <w:sz w:val="28"/>
          <w:szCs w:val="28"/>
          <w:lang w:val="uk-UA" w:eastAsia="ru-RU"/>
        </w:rPr>
        <w:t>Інформаційні технології</w:t>
      </w:r>
      <w:r>
        <w:rPr>
          <w:rFonts w:ascii="Times New Roman" w:eastAsia="Times New Roman" w:hAnsi="Times New Roman"/>
          <w:sz w:val="28"/>
          <w:szCs w:val="28"/>
          <w:lang w:val="uk-UA" w:eastAsia="ru-RU"/>
        </w:rPr>
        <w:t xml:space="preserve"> – системи управління базами даних клієнтів (CRM-системи), електронні реєстри соціальних послуг, цифрові архіви – оптимізують роботу з </w:t>
      </w:r>
      <w:r>
        <w:rPr>
          <w:rFonts w:ascii="Times New Roman" w:eastAsia="Times New Roman" w:hAnsi="Times New Roman"/>
          <w:sz w:val="28"/>
          <w:szCs w:val="28"/>
          <w:lang w:val="uk-UA" w:eastAsia="ru-RU"/>
        </w:rPr>
        <w:lastRenderedPageBreak/>
        <w:t xml:space="preserve">інформацією. </w:t>
      </w:r>
      <w:r>
        <w:rPr>
          <w:rFonts w:ascii="Times New Roman" w:eastAsia="Times New Roman" w:hAnsi="Times New Roman"/>
          <w:bCs/>
          <w:sz w:val="28"/>
          <w:szCs w:val="28"/>
          <w:lang w:val="uk-UA" w:eastAsia="ru-RU"/>
        </w:rPr>
        <w:t>Аналітичні технології</w:t>
      </w:r>
      <w:r>
        <w:rPr>
          <w:rFonts w:ascii="Times New Roman" w:eastAsia="Times New Roman" w:hAnsi="Times New Roman"/>
          <w:sz w:val="28"/>
          <w:szCs w:val="28"/>
          <w:lang w:val="uk-UA" w:eastAsia="ru-RU"/>
        </w:rPr>
        <w:t xml:space="preserve"> – системи обробки великих даних (Big Data), штучний інтелект – уможливлюють виявлення закономірностей та прогнозування потреб клієнтів. </w:t>
      </w:r>
      <w:r>
        <w:rPr>
          <w:rFonts w:ascii="Times New Roman" w:eastAsia="Times New Roman" w:hAnsi="Times New Roman"/>
          <w:bCs/>
          <w:sz w:val="28"/>
          <w:szCs w:val="28"/>
          <w:lang w:val="uk-UA" w:eastAsia="ru-RU"/>
        </w:rPr>
        <w:t>Інтерфейсні технології</w:t>
      </w:r>
      <w:r>
        <w:rPr>
          <w:rFonts w:ascii="Times New Roman" w:eastAsia="Times New Roman" w:hAnsi="Times New Roman"/>
          <w:sz w:val="28"/>
          <w:szCs w:val="28"/>
          <w:lang w:val="uk-UA" w:eastAsia="ru-RU"/>
        </w:rPr>
        <w:t xml:space="preserve"> – мобільні застосунки, веб-портали, онлайн-форми – забезпечують зручний цифровий доступ клієнтів до послуг [Іванова, 2023; Логвиненко, 2023].</w:t>
      </w:r>
    </w:p>
    <w:p w14:paraId="0AD29EC2" w14:textId="77777777" w:rsidR="00711973" w:rsidRPr="00993978" w:rsidRDefault="00711973" w:rsidP="00711973">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Функціональне значення цифрових технологій для соціальної роботи є багатовимірним. </w:t>
      </w:r>
      <w:r>
        <w:rPr>
          <w:rFonts w:ascii="Times New Roman" w:eastAsia="Times New Roman" w:hAnsi="Times New Roman"/>
          <w:bCs/>
          <w:sz w:val="28"/>
          <w:szCs w:val="28"/>
          <w:lang w:val="uk-UA" w:eastAsia="ru-RU"/>
        </w:rPr>
        <w:t>Розширення географічного охвату</w:t>
      </w:r>
      <w:r>
        <w:rPr>
          <w:rFonts w:ascii="Times New Roman" w:eastAsia="Times New Roman" w:hAnsi="Times New Roman"/>
          <w:sz w:val="28"/>
          <w:szCs w:val="28"/>
          <w:lang w:val="uk-UA" w:eastAsia="ru-RU"/>
        </w:rPr>
        <w:t xml:space="preserve"> є, мабуть, найбільш очевидною перевагою цифровізації: дистанційні консультації дозволяють надавати послуги особам, які проживають у віддалених районах, тимчасово переміщеним особам або тим, хто не має фізичної можливості відвідувати соціальні служби (люди з обмеженою мобільністю, особи з маленькими дітьми тощо). В умовах України, де значна частина інфраструктури соціальних служб постраждала внаслідок збройного конфлікту, цей аспект набуває особливої ваги [Лахман, 2023].</w:t>
      </w:r>
    </w:p>
    <w:p w14:paraId="4D213159" w14:textId="77777777" w:rsidR="000309E8" w:rsidRPr="00993978" w:rsidRDefault="00C1625D" w:rsidP="000309E8">
      <w:pPr>
        <w:spacing w:after="0" w:line="320" w:lineRule="auto"/>
        <w:jc w:val="right"/>
        <w:rPr>
          <w:rFonts w:ascii="Times New Roman" w:eastAsia="Times New Roman" w:hAnsi="Times New Roman"/>
          <w:b/>
          <w:bCs/>
          <w:iCs/>
          <w:sz w:val="28"/>
          <w:szCs w:val="26"/>
          <w:lang w:val="uk-UA" w:eastAsia="ru-RU"/>
        </w:rPr>
      </w:pPr>
      <w:r>
        <w:rPr>
          <w:rFonts w:ascii="Times New Roman" w:eastAsia="Times New Roman" w:hAnsi="Times New Roman"/>
          <w:b/>
          <w:bCs/>
          <w:iCs/>
          <w:sz w:val="28"/>
          <w:szCs w:val="26"/>
          <w:lang w:val="uk-UA" w:eastAsia="ru-RU"/>
        </w:rPr>
        <w:t xml:space="preserve">Таблиця 1.2. </w:t>
      </w:r>
    </w:p>
    <w:p w14:paraId="0D6EF801" w14:textId="77777777" w:rsidR="00C1625D" w:rsidRPr="00993978" w:rsidRDefault="00C1625D" w:rsidP="000309E8">
      <w:pPr>
        <w:spacing w:after="0" w:line="320" w:lineRule="auto"/>
        <w:jc w:val="center"/>
        <w:rPr>
          <w:rFonts w:ascii="Times New Roman" w:eastAsia="Times New Roman" w:hAnsi="Times New Roman"/>
          <w:sz w:val="32"/>
          <w:szCs w:val="28"/>
          <w:lang w:val="uk-UA" w:eastAsia="ru-RU"/>
        </w:rPr>
      </w:pPr>
      <w:r>
        <w:rPr>
          <w:rFonts w:ascii="Times New Roman" w:eastAsia="Times New Roman" w:hAnsi="Times New Roman"/>
          <w:b/>
          <w:bCs/>
          <w:iCs/>
          <w:sz w:val="28"/>
          <w:szCs w:val="26"/>
          <w:lang w:val="uk-UA" w:eastAsia="ru-RU"/>
        </w:rPr>
        <w:t>Класифікація цифрових технологій у соціальній роботі</w:t>
      </w:r>
    </w:p>
    <w:tbl>
      <w:tblPr>
        <w:tblStyle w:val="ListTable3"/>
        <w:tblW w:w="9026" w:type="dxa"/>
        <w:tblLook w:val="0000" w:firstRow="0" w:lastRow="0" w:firstColumn="0" w:lastColumn="0" w:noHBand="0" w:noVBand="0"/>
      </w:tblPr>
      <w:tblGrid>
        <w:gridCol w:w="2000"/>
        <w:gridCol w:w="3500"/>
        <w:gridCol w:w="3526"/>
      </w:tblGrid>
      <w:tr w:rsidR="00C1625D" w:rsidRPr="00993978" w14:paraId="51F3A729"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00" w:type="dxa"/>
          </w:tcPr>
          <w:p w14:paraId="752CFB94" w14:textId="77777777" w:rsidR="00C1625D" w:rsidRPr="00993978" w:rsidRDefault="00C1625D" w:rsidP="000309E8">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Клас технологій</w:t>
            </w:r>
          </w:p>
        </w:tc>
        <w:tc>
          <w:tcPr>
            <w:tcW w:w="3500" w:type="dxa"/>
          </w:tcPr>
          <w:p w14:paraId="59BC45F7" w14:textId="77777777" w:rsidR="00C1625D" w:rsidRPr="00993978" w:rsidRDefault="00C1625D" w:rsidP="000309E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Приклади інструментів</w:t>
            </w:r>
          </w:p>
        </w:tc>
        <w:tc>
          <w:tcPr>
            <w:cnfStyle w:val="000010000000" w:firstRow="0" w:lastRow="0" w:firstColumn="0" w:lastColumn="0" w:oddVBand="1" w:evenVBand="0" w:oddHBand="0" w:evenHBand="0" w:firstRowFirstColumn="0" w:firstRowLastColumn="0" w:lastRowFirstColumn="0" w:lastRowLastColumn="0"/>
            <w:tcW w:w="3526" w:type="dxa"/>
          </w:tcPr>
          <w:p w14:paraId="26D4EF78" w14:textId="77777777" w:rsidR="00C1625D" w:rsidRPr="00993978" w:rsidRDefault="00C1625D" w:rsidP="000309E8">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Функція у соціальній роботі</w:t>
            </w:r>
          </w:p>
        </w:tc>
      </w:tr>
      <w:tr w:rsidR="00C1625D" w:rsidRPr="00993978" w14:paraId="4DB72D0C" w14:textId="77777777" w:rsidTr="00195BDA">
        <w:tc>
          <w:tcPr>
            <w:cnfStyle w:val="000010000000" w:firstRow="0" w:lastRow="0" w:firstColumn="0" w:lastColumn="0" w:oddVBand="1" w:evenVBand="0" w:oddHBand="0" w:evenHBand="0" w:firstRowFirstColumn="0" w:firstRowLastColumn="0" w:lastRowFirstColumn="0" w:lastRowLastColumn="0"/>
            <w:tcW w:w="2000" w:type="dxa"/>
          </w:tcPr>
          <w:p w14:paraId="0B609E33"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Комунікаційні</w:t>
            </w:r>
          </w:p>
        </w:tc>
        <w:tc>
          <w:tcPr>
            <w:tcW w:w="3500" w:type="dxa"/>
          </w:tcPr>
          <w:p w14:paraId="14A1B6E3" w14:textId="77777777" w:rsidR="00C1625D" w:rsidRPr="00993978" w:rsidRDefault="00C1625D" w:rsidP="000309E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Zoom, Teams, Viber, Telegram, чат-боти</w:t>
            </w:r>
          </w:p>
        </w:tc>
        <w:tc>
          <w:tcPr>
            <w:cnfStyle w:val="000010000000" w:firstRow="0" w:lastRow="0" w:firstColumn="0" w:lastColumn="0" w:oddVBand="1" w:evenVBand="0" w:oddHBand="0" w:evenHBand="0" w:firstRowFirstColumn="0" w:firstRowLastColumn="0" w:lastRowFirstColumn="0" w:lastRowLastColumn="0"/>
            <w:tcW w:w="3526" w:type="dxa"/>
          </w:tcPr>
          <w:p w14:paraId="1AF1EA53"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Дистанційне консультування, групова робота онлайн, кризова підтримка</w:t>
            </w:r>
          </w:p>
        </w:tc>
      </w:tr>
      <w:tr w:rsidR="00C1625D" w:rsidRPr="00993978" w14:paraId="6FD117BE"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00" w:type="dxa"/>
          </w:tcPr>
          <w:p w14:paraId="0747F65C"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Інформаційні (CRM/БД)</w:t>
            </w:r>
          </w:p>
        </w:tc>
        <w:tc>
          <w:tcPr>
            <w:tcW w:w="3500" w:type="dxa"/>
          </w:tcPr>
          <w:p w14:paraId="6EC2E875" w14:textId="77777777" w:rsidR="00C1625D" w:rsidRPr="00993978" w:rsidRDefault="00C1625D" w:rsidP="000309E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ЄДЕССО, Соціальний реєстр, 1С:Соціальний захист</w:t>
            </w:r>
          </w:p>
        </w:tc>
        <w:tc>
          <w:tcPr>
            <w:cnfStyle w:val="000010000000" w:firstRow="0" w:lastRow="0" w:firstColumn="0" w:lastColumn="0" w:oddVBand="1" w:evenVBand="0" w:oddHBand="0" w:evenHBand="0" w:firstRowFirstColumn="0" w:firstRowLastColumn="0" w:lastRowFirstColumn="0" w:lastRowLastColumn="0"/>
            <w:tcW w:w="3526" w:type="dxa"/>
          </w:tcPr>
          <w:p w14:paraId="465CC3D2"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Ведення справ клієнтів, планування послуг, формування звітності</w:t>
            </w:r>
          </w:p>
        </w:tc>
      </w:tr>
      <w:tr w:rsidR="00C1625D" w:rsidRPr="00993978" w14:paraId="390CCFF7" w14:textId="77777777" w:rsidTr="00195BDA">
        <w:tc>
          <w:tcPr>
            <w:cnfStyle w:val="000010000000" w:firstRow="0" w:lastRow="0" w:firstColumn="0" w:lastColumn="0" w:oddVBand="1" w:evenVBand="0" w:oddHBand="0" w:evenHBand="0" w:firstRowFirstColumn="0" w:firstRowLastColumn="0" w:lastRowFirstColumn="0" w:lastRowLastColumn="0"/>
            <w:tcW w:w="2000" w:type="dxa"/>
          </w:tcPr>
          <w:p w14:paraId="4388C6AA"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Аналітичні (AI/Big Data)</w:t>
            </w:r>
          </w:p>
        </w:tc>
        <w:tc>
          <w:tcPr>
            <w:tcW w:w="3500" w:type="dxa"/>
          </w:tcPr>
          <w:p w14:paraId="713A3E4C" w14:textId="77777777" w:rsidR="00C1625D" w:rsidRPr="00993978" w:rsidRDefault="00C1625D" w:rsidP="000309E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Системи прогнозування ризиків, аналіз потреб громади</w:t>
            </w:r>
          </w:p>
        </w:tc>
        <w:tc>
          <w:tcPr>
            <w:cnfStyle w:val="000010000000" w:firstRow="0" w:lastRow="0" w:firstColumn="0" w:lastColumn="0" w:oddVBand="1" w:evenVBand="0" w:oddHBand="0" w:evenHBand="0" w:firstRowFirstColumn="0" w:firstRowLastColumn="0" w:lastRowFirstColumn="0" w:lastRowLastColumn="0"/>
            <w:tcW w:w="3526" w:type="dxa"/>
          </w:tcPr>
          <w:p w14:paraId="6274E1F1"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Виявлення вразливих груп, оцінка ефективності програм, превентивна робота</w:t>
            </w:r>
          </w:p>
        </w:tc>
      </w:tr>
      <w:tr w:rsidR="00C1625D" w:rsidRPr="00993978" w14:paraId="75FD6820"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00" w:type="dxa"/>
          </w:tcPr>
          <w:p w14:paraId="3B930269"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Інтерфейсні / мобільні</w:t>
            </w:r>
          </w:p>
        </w:tc>
        <w:tc>
          <w:tcPr>
            <w:tcW w:w="3500" w:type="dxa"/>
          </w:tcPr>
          <w:p w14:paraId="11D03B28" w14:textId="77777777" w:rsidR="00C1625D" w:rsidRPr="00993978" w:rsidRDefault="00C1625D" w:rsidP="000309E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Портал «Дія», мобільні застосунки соціальних служб</w:t>
            </w:r>
          </w:p>
        </w:tc>
        <w:tc>
          <w:tcPr>
            <w:cnfStyle w:val="000010000000" w:firstRow="0" w:lastRow="0" w:firstColumn="0" w:lastColumn="0" w:oddVBand="1" w:evenVBand="0" w:oddHBand="0" w:evenHBand="0" w:firstRowFirstColumn="0" w:firstRowLastColumn="0" w:lastRowFirstColumn="0" w:lastRowLastColumn="0"/>
            <w:tcW w:w="3526" w:type="dxa"/>
          </w:tcPr>
          <w:p w14:paraId="7C7A2C2B"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Самозвернення клієнтів, онлайн-запис, отримання довідок та виплат</w:t>
            </w:r>
          </w:p>
        </w:tc>
      </w:tr>
      <w:tr w:rsidR="00C1625D" w:rsidRPr="00993978" w14:paraId="511DA702" w14:textId="77777777" w:rsidTr="00195BDA">
        <w:tc>
          <w:tcPr>
            <w:cnfStyle w:val="000010000000" w:firstRow="0" w:lastRow="0" w:firstColumn="0" w:lastColumn="0" w:oddVBand="1" w:evenVBand="0" w:oddHBand="0" w:evenHBand="0" w:firstRowFirstColumn="0" w:firstRowLastColumn="0" w:lastRowFirstColumn="0" w:lastRowLastColumn="0"/>
            <w:tcW w:w="2000" w:type="dxa"/>
          </w:tcPr>
          <w:p w14:paraId="1590933B"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Асистивні технології</w:t>
            </w:r>
          </w:p>
        </w:tc>
        <w:tc>
          <w:tcPr>
            <w:tcW w:w="3500" w:type="dxa"/>
          </w:tcPr>
          <w:p w14:paraId="666CFECC" w14:textId="77777777" w:rsidR="00C1625D" w:rsidRPr="00993978" w:rsidRDefault="00C1625D" w:rsidP="000309E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Скрін-рідери, субтитри, тифлокоментар</w:t>
            </w:r>
          </w:p>
        </w:tc>
        <w:tc>
          <w:tcPr>
            <w:cnfStyle w:val="000010000000" w:firstRow="0" w:lastRow="0" w:firstColumn="0" w:lastColumn="0" w:oddVBand="1" w:evenVBand="0" w:oddHBand="0" w:evenHBand="0" w:firstRowFirstColumn="0" w:firstRowLastColumn="0" w:lastRowFirstColumn="0" w:lastRowLastColumn="0"/>
            <w:tcW w:w="3526" w:type="dxa"/>
          </w:tcPr>
          <w:p w14:paraId="7E77B312" w14:textId="77777777" w:rsidR="00C1625D" w:rsidRPr="00993978" w:rsidRDefault="00C1625D" w:rsidP="000309E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Забезпечення доступності послуг для осіб з інвалідністю</w:t>
            </w:r>
          </w:p>
        </w:tc>
      </w:tr>
    </w:tbl>
    <w:p w14:paraId="799CE019" w14:textId="77777777" w:rsidR="00C1625D" w:rsidRPr="00993978" w:rsidRDefault="00C1625D" w:rsidP="00C1625D">
      <w:pPr>
        <w:spacing w:after="120" w:line="360" w:lineRule="auto"/>
        <w:jc w:val="both"/>
        <w:rPr>
          <w:rFonts w:ascii="Times New Roman" w:eastAsia="Times New Roman" w:hAnsi="Times New Roman"/>
          <w:sz w:val="28"/>
          <w:szCs w:val="28"/>
          <w:lang w:val="uk-UA" w:eastAsia="ru-RU"/>
        </w:rPr>
      </w:pPr>
    </w:p>
    <w:p w14:paraId="124E2043"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Підвищення оперативності реагування</w:t>
      </w:r>
      <w:r>
        <w:rPr>
          <w:rFonts w:ascii="Times New Roman" w:eastAsia="Times New Roman" w:hAnsi="Times New Roman"/>
          <w:sz w:val="28"/>
          <w:szCs w:val="28"/>
          <w:lang w:val="uk-UA" w:eastAsia="ru-RU"/>
        </w:rPr>
        <w:t xml:space="preserve"> є ще однією ключовою перевагою цифрового формату. Системи онлайн-запису, чат-боти та гарячі лінії у месенджерах дозволяють скоротити час очікування на послугу та забезпечити цілодобову доступність принаймні первинної інформаційної та </w:t>
      </w:r>
      <w:r>
        <w:rPr>
          <w:rFonts w:ascii="Times New Roman" w:eastAsia="Times New Roman" w:hAnsi="Times New Roman"/>
          <w:sz w:val="28"/>
          <w:szCs w:val="28"/>
          <w:lang w:val="uk-UA" w:eastAsia="ru-RU"/>
        </w:rPr>
        <w:lastRenderedPageBreak/>
        <w:t>психологічної підтримки. Під час кризових ситуацій – воєнних дій, стихійних лих, пандемій – цифрові канали зв'язку нерідко виявляються єдиним доступним способом отримання соціальної допомоги. Досвід локдаунів COVID-19 (2020–2021) продемонстрував, що соціальні служби, заздалегідь інвестовавші у розвиток цифрової інфраструктури, змогли забезпечити безперервність надання послуг навіть в умовах фізичного дистанціювання [Карпенко, 2022; Ткаченко, 2021].</w:t>
      </w:r>
    </w:p>
    <w:p w14:paraId="5A386382"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Оптимізація управлінських процесів</w:t>
      </w:r>
      <w:r>
        <w:rPr>
          <w:rFonts w:ascii="Times New Roman" w:eastAsia="Times New Roman" w:hAnsi="Times New Roman"/>
          <w:sz w:val="28"/>
          <w:szCs w:val="28"/>
          <w:lang w:val="uk-UA" w:eastAsia="ru-RU"/>
        </w:rPr>
        <w:t xml:space="preserve"> є важливою, хоча й менш помітною функцією цифровізації. Електронні системи управління справами клієнтів (case management systems) дозволяють соціальним працівникам ефективніше документувати роботу, координувати дії з колегами та суміжними службами, відстежувати динаміку ситуації клієнта у часі. Це звільняє час фахівця від рутинних адміністративних завдань та дозволяє сконцентруватися на безпосередній роботі з клієнтом. За даними дослідження у Великобританії (NHS Digital, 2022), впровадження цифрових систем управління справами скоротило адміністративне навантаження на соціальних працівників у середньому на 23% [Карпенко, 2022].</w:t>
      </w:r>
    </w:p>
    <w:p w14:paraId="404E62C5"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Водночас цифровізація соціальних послуг несе в собі й суттєві ризики та обмеження, що потребують уважного аналізу. </w:t>
      </w:r>
      <w:r>
        <w:rPr>
          <w:rFonts w:ascii="Times New Roman" w:eastAsia="Times New Roman" w:hAnsi="Times New Roman"/>
          <w:bCs/>
          <w:sz w:val="28"/>
          <w:szCs w:val="28"/>
          <w:lang w:val="uk-UA" w:eastAsia="ru-RU"/>
        </w:rPr>
        <w:t>Цифровий розрив</w:t>
      </w:r>
      <w:r>
        <w:rPr>
          <w:rFonts w:ascii="Times New Roman" w:eastAsia="Times New Roman" w:hAnsi="Times New Roman"/>
          <w:sz w:val="28"/>
          <w:szCs w:val="28"/>
          <w:lang w:val="uk-UA" w:eastAsia="ru-RU"/>
        </w:rPr>
        <w:t xml:space="preserve"> (digital divide) – нерівний доступ різних груп населення до цифрових технологій та навичок їх використання – може посилювати соціальну нерівність замість її подолання. Особи похилого віку, люди з когнітивними порушеннями, малозабезпечені сім'ї, що не мають доступу до інтернету, ризикують опинитися ще більш ізольованими від системи соціальної підтримки, якщо та надмірно захоплюється цифровізацією без відповідних компенсаторних заходів [Іванова, 2023; Гнатенко, 2023].</w:t>
      </w:r>
    </w:p>
    <w:p w14:paraId="1A2FF2AA"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Проблема «технологічного дистанціювання»</w:t>
      </w:r>
      <w:r>
        <w:rPr>
          <w:rFonts w:ascii="Times New Roman" w:eastAsia="Times New Roman" w:hAnsi="Times New Roman"/>
          <w:sz w:val="28"/>
          <w:szCs w:val="28"/>
          <w:lang w:val="uk-UA" w:eastAsia="ru-RU"/>
        </w:rPr>
        <w:t xml:space="preserve"> у відносинах між соціальним працівником та клієнтом є ще одним серйозним викликом. Класична соціальна робота будується на концепції «терапевтичного альянсу» – довірливих, емпатійних відносин між фахівцем і клієнтом, що є умовою </w:t>
      </w:r>
      <w:r>
        <w:rPr>
          <w:rFonts w:ascii="Times New Roman" w:eastAsia="Times New Roman" w:hAnsi="Times New Roman"/>
          <w:sz w:val="28"/>
          <w:szCs w:val="28"/>
          <w:lang w:val="uk-UA" w:eastAsia="ru-RU"/>
        </w:rPr>
        <w:lastRenderedPageBreak/>
        <w:t>ефективної допомоги. Цифровий формат взаємодії може ускладнювати встановлення та підтримання такого альянсу: обмеженість невербальної комунікації, технічні збої, відчуття формальності відеодзвінків – усе це впливає на якість терапевтичного зв'язку. Дослідження М. Хьюза та Д. Хопсона (2020) зафіксували, що 68% соціальних працівників вважають встановлення довіри у дистанційному форматі складнішим порівняно з очними зустрічами [Hughes, 2020].</w:t>
      </w:r>
    </w:p>
    <w:p w14:paraId="3C7D2818"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Питання конфіденційності та кібербезпеки</w:t>
      </w:r>
      <w:r>
        <w:rPr>
          <w:rFonts w:ascii="Times New Roman" w:eastAsia="Times New Roman" w:hAnsi="Times New Roman"/>
          <w:sz w:val="28"/>
          <w:szCs w:val="28"/>
          <w:lang w:val="uk-UA" w:eastAsia="ru-RU"/>
        </w:rPr>
        <w:t xml:space="preserve"> є принципово важливими у контексті цифрових соціальних послуг. Зберігання персональних даних клієнтів у цифрових системах, проведення консультацій через відеоплатформи, обмін документами онлайн – усе це пов'язано з ризиком несанкціонованого доступу до чутливої інформації. Регуляторні вимоги Загального регламенту ЄС про захист даних (GDPR) та вітчизняного законодавства про захист персональних даних висувають чіткі вимоги до забезпечення цифрової безпеки соціальних організацій [Закон № 2671, 2019].</w:t>
      </w:r>
    </w:p>
    <w:p w14:paraId="2877ED5F"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Важливим концептуальним питанням є проблема </w:t>
      </w:r>
      <w:r>
        <w:rPr>
          <w:rFonts w:ascii="Times New Roman" w:eastAsia="Times New Roman" w:hAnsi="Times New Roman"/>
          <w:bCs/>
          <w:sz w:val="28"/>
          <w:szCs w:val="28"/>
          <w:lang w:val="uk-UA" w:eastAsia="ru-RU"/>
        </w:rPr>
        <w:t>«алгоритмічної упередженості»</w:t>
      </w:r>
      <w:r>
        <w:rPr>
          <w:rFonts w:ascii="Times New Roman" w:eastAsia="Times New Roman" w:hAnsi="Times New Roman"/>
          <w:sz w:val="28"/>
          <w:szCs w:val="28"/>
          <w:lang w:val="uk-UA" w:eastAsia="ru-RU"/>
        </w:rPr>
        <w:t xml:space="preserve"> (algorithmic bias) в аналітичних системах, що використовуються у соціальній роботі. Системи штучного інтелекту, що застосовуються для оцінки ризиків (наприклад, ризику насилля над дитиною) або прогнозування потреб клієнтів, можуть відтворювати та посилювати існуючі соціальні упередження, якщо вони навчалися на даних, що відображали дискримінаційні практики минулого. Це ставить серйозні етичні питання щодо використання ІІ у соціальній роботі та потребує розробки відповідних механізмів контролю та підзвітності [Eubanks, 2018].</w:t>
      </w:r>
    </w:p>
    <w:p w14:paraId="1BDA2863"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426"/>
        <w:gridCol w:w="800"/>
      </w:tblGrid>
      <w:tr w:rsidR="00C1625D" w:rsidRPr="00993978" w14:paraId="4653EFDC" w14:textId="77777777" w:rsidTr="00195BDA">
        <w:tc>
          <w:tcPr>
            <w:tcW w:w="28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1B4C0D66" w14:textId="77777777" w:rsidR="00C1625D" w:rsidRPr="00195BDA"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Категорія / показник</w:t>
            </w:r>
          </w:p>
        </w:tc>
        <w:tc>
          <w:tcPr>
            <w:tcW w:w="5426"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4FAAB4B5" w14:textId="77777777" w:rsidR="00C1625D" w:rsidRPr="00195BDA"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Частка / рівень (%)</w:t>
            </w:r>
          </w:p>
        </w:tc>
        <w:tc>
          <w:tcPr>
            <w:tcW w:w="8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62E35580" w14:textId="77777777" w:rsidR="00C1625D" w:rsidRPr="00195BDA"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w:t>
            </w:r>
          </w:p>
        </w:tc>
      </w:tr>
      <w:tr w:rsidR="00C1625D" w:rsidRPr="00993978" w14:paraId="0CC100D5"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1D259507"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Електронне листування (e-mail)</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45D2F9AC"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49C103F1"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91%</w:t>
            </w:r>
          </w:p>
        </w:tc>
      </w:tr>
      <w:tr w:rsidR="00C1625D" w:rsidRPr="00993978" w14:paraId="6583048C"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3499B68"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Мессенджери (Viber, Telegram)</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19DBCF2F"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20A7EEDB"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84%</w:t>
            </w:r>
          </w:p>
        </w:tc>
      </w:tr>
      <w:tr w:rsidR="00C1625D" w:rsidRPr="00993978" w14:paraId="3AAEB7E9"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E526984"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lastRenderedPageBreak/>
              <w:t>Відеоконсультації (Zoom, Teams)</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AA6D40D"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1D21F488"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62%</w:t>
            </w:r>
          </w:p>
        </w:tc>
      </w:tr>
      <w:tr w:rsidR="00C1625D" w:rsidRPr="00993978" w14:paraId="3C713D69"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5BD22974"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Онлайн-реєстрація клієнтів</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288D2FBE"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4B6D5561"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47%</w:t>
            </w:r>
          </w:p>
        </w:tc>
      </w:tr>
      <w:tr w:rsidR="00C1625D" w:rsidRPr="00993978" w14:paraId="29C60F30"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5F4DB072"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CRM / електронні бази клієнтів</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4276F44F"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8874DF1"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38%</w:t>
            </w:r>
          </w:p>
        </w:tc>
      </w:tr>
      <w:tr w:rsidR="00C1625D" w:rsidRPr="00993978" w14:paraId="215F90FF"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2E4168D9"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Мобільні застосунки для клієнтів</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1E602074"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8C9D0E3"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21%</w:t>
            </w:r>
          </w:p>
        </w:tc>
      </w:tr>
      <w:tr w:rsidR="00C1625D" w:rsidRPr="00993978" w14:paraId="0244423A" w14:textId="77777777" w:rsidTr="00195BDA">
        <w:tc>
          <w:tcPr>
            <w:tcW w:w="2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6A4A5C21"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AI-аналітика / чат-боти</w:t>
            </w:r>
          </w:p>
        </w:tc>
        <w:tc>
          <w:tcPr>
            <w:tcW w:w="5426"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41BD417E" w14:textId="77777777" w:rsidR="00C1625D" w:rsidRPr="00993978" w:rsidRDefault="00C1625D" w:rsidP="00C1625D">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20" w:type="dxa"/>
              <w:bottom w:w="80" w:type="dxa"/>
              <w:right w:w="120" w:type="dxa"/>
            </w:tcMar>
          </w:tcPr>
          <w:p w14:paraId="14866102" w14:textId="77777777" w:rsidR="00C1625D" w:rsidRPr="00993978" w:rsidRDefault="00C1625D" w:rsidP="00C1625D">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9%</w:t>
            </w:r>
          </w:p>
        </w:tc>
      </w:tr>
    </w:tbl>
    <w:p w14:paraId="0FAD5CE7" w14:textId="77777777" w:rsidR="00C1625D" w:rsidRPr="00993978" w:rsidRDefault="00C1625D" w:rsidP="00C1625D">
      <w:pPr>
        <w:spacing w:before="100" w:line="320" w:lineRule="auto"/>
        <w:ind w:firstLine="709"/>
        <w:jc w:val="both"/>
        <w:rPr>
          <w:rFonts w:ascii="Times New Roman" w:eastAsia="Times New Roman" w:hAnsi="Times New Roman"/>
          <w:b/>
          <w:iCs/>
          <w:sz w:val="26"/>
          <w:szCs w:val="26"/>
          <w:lang w:val="uk-UA" w:eastAsia="ru-RU"/>
        </w:rPr>
      </w:pPr>
      <w:r>
        <w:rPr>
          <w:rFonts w:ascii="Times New Roman" w:eastAsia="Times New Roman" w:hAnsi="Times New Roman"/>
          <w:b/>
          <w:iCs/>
          <w:sz w:val="26"/>
          <w:szCs w:val="26"/>
          <w:lang w:val="uk-UA" w:eastAsia="ru-RU"/>
        </w:rPr>
        <w:t>Рис. 1.1. Рівень використання цифрових технологій соціальними службами в Україні (2025, % від загальної кількості служб)</w:t>
      </w:r>
    </w:p>
    <w:p w14:paraId="08D1B562" w14:textId="77777777" w:rsidR="00C1625D" w:rsidRPr="00993978" w:rsidRDefault="00C1625D" w:rsidP="00C1625D">
      <w:pPr>
        <w:spacing w:before="100" w:line="320" w:lineRule="auto"/>
        <w:ind w:firstLine="709"/>
        <w:jc w:val="both"/>
        <w:rPr>
          <w:rFonts w:ascii="Times New Roman" w:eastAsia="Times New Roman" w:hAnsi="Times New Roman"/>
          <w:b/>
          <w:sz w:val="28"/>
          <w:szCs w:val="28"/>
          <w:lang w:val="uk-UA" w:eastAsia="ru-RU"/>
        </w:rPr>
      </w:pPr>
    </w:p>
    <w:p w14:paraId="70282234"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Дані, наведені у Рис. 1.1, свідчать про те, що переважна більшість соціальних служб в Україні використовує принаймні базові цифрові комунікаційні інструменти (електронна пошта – 91%, месенджери – 84%). Проте складніші та більш функціональні цифрові рішення – спеціалізовані CRM-системи (38%), мобільні застосунки (21%) та AI-інструменти (9%) – залишаються відносно рідкісними. Це свідчить про нерівномірність цифрової трансформації у сфері соціальних послуг та необхідність системної підтримки цього процесу.</w:t>
      </w:r>
    </w:p>
    <w:p w14:paraId="4EB5082C" w14:textId="77777777" w:rsidR="00C1625D" w:rsidRPr="00993978" w:rsidRDefault="00C1625D" w:rsidP="00C1625D">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Таким чином, цифрові технології у сфері соціальної роботи виконують важливі функції розширення доступу, підвищення оперативності та оптимізації управлінських процесів, водночас несучи в собі ризики цифрового розриву, технологічного дистанціювання та порушення конфіденційності. Усвідомлення цих переваг і ризиків є необхідною умовою для відповідальної, ефективної та етичної цифровізації соціальних послуг.</w:t>
      </w:r>
    </w:p>
    <w:p w14:paraId="12074D63"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3D309ACB"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1.3. Зарубіжний та вітчизняний досвід використання цифрових консультаційних практик у соціальній роботі</w:t>
      </w:r>
    </w:p>
    <w:p w14:paraId="0CAF30B2"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37EBD310"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Цифрові консультаційні практики у соціальній роботі розвиваються не в науковому чи нормативному вакуумі, а в контексті конкретного міжнародного та вітчизняного досвіду, що акумулює як успішні практики, так і помилки та виклики. Аналіз цього досвіду є необхідною умовою для науково обґрунтованого проектування та вдосконалення цифрових консультаційних практик в Україні. У рамках цього підрозділу розглядаються ключові тенденції та приклади використання цифрових консультацій у соціальній роботі в країнах з розвиненою системою соціального обслуговування, а також аналізується стан розвитку цього напряму в Україні.</w:t>
      </w:r>
    </w:p>
    <w:p w14:paraId="6D0CE1B4"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Досвід Скандинавських країн.</w:t>
      </w:r>
      <w:r>
        <w:rPr>
          <w:rFonts w:ascii="Times New Roman" w:eastAsia="Times New Roman" w:hAnsi="Times New Roman"/>
          <w:sz w:val="28"/>
          <w:szCs w:val="28"/>
          <w:lang w:val="uk-UA" w:eastAsia="ru-RU"/>
        </w:rPr>
        <w:t xml:space="preserve"> Норвегія, Швеція та Данія є визнаними лідерами у сфері цифровізації соціальних послуг, що зумовлено як розвиненою цифровою інфраструктурою, так і загальною культурою електронного урядування (e-governance). У Норвегії Управління соціального страхування (NAV) запровадило систему цифрових консультацій, що охоплює відеодзвінки, чат та захищений обмін документами. Дослідження 2019 року показало, що 73% користувачів цифрових послуг NAV повідомляли про задоволеність їх якістю, а географічно віддалені клієнти оцінювали доступність послуг значно вище порівняно з докризовим (доцифровим) рівнем [Andreassen, 2019; Мельник, 2023].</w:t>
      </w:r>
    </w:p>
    <w:p w14:paraId="223BAEE1"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Особливо цікавим є досвід Швеції у впровадженні </w:t>
      </w:r>
      <w:r>
        <w:rPr>
          <w:rFonts w:ascii="Times New Roman" w:eastAsia="Times New Roman" w:hAnsi="Times New Roman"/>
          <w:bCs/>
          <w:sz w:val="28"/>
          <w:szCs w:val="28"/>
          <w:lang w:val="uk-UA" w:eastAsia="ru-RU"/>
        </w:rPr>
        <w:t>«цифрових центрів підтримки»</w:t>
      </w:r>
      <w:r>
        <w:rPr>
          <w:rFonts w:ascii="Times New Roman" w:eastAsia="Times New Roman" w:hAnsi="Times New Roman"/>
          <w:sz w:val="28"/>
          <w:szCs w:val="28"/>
          <w:lang w:val="uk-UA" w:eastAsia="ru-RU"/>
        </w:rPr>
        <w:t xml:space="preserve"> (Digital Stödcentrum) для різних груп населення, зокрема для осіб з ментальними порушеннями. Ці центри поєднують можливість онлайн-консультацій з фахівцями соціальних служб та peer-support (взаємопідтримкою від осіб з власним досвідом). Результати оцінювання (Statens beredning för medicinsk och social utvärdering, 2021) засвідчили, що такий підхід не лише підвищує доступність послуг, але й сприяє ширшому охопленню тих осіб, які через стигму уникали звернення до традиційних соціальних служб [NISCC, 2023; Fitzpatrick, 2021].</w:t>
      </w:r>
    </w:p>
    <w:p w14:paraId="66B0A436"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lastRenderedPageBreak/>
        <w:t>Досвід Великобританії.</w:t>
      </w:r>
      <w:r>
        <w:rPr>
          <w:rFonts w:ascii="Times New Roman" w:eastAsia="Times New Roman" w:hAnsi="Times New Roman"/>
          <w:sz w:val="28"/>
          <w:szCs w:val="28"/>
          <w:lang w:val="uk-UA" w:eastAsia="ru-RU"/>
        </w:rPr>
        <w:t xml:space="preserve"> У Великобританії реформа соціальних послуг «Care Act» (2014) заклала правову основу для використання цифрових технологій у соціальній роботі. Після впровадження принципів «digital by default» значна частина первинних консультацій соціальних служб перейшла в онлайн-формат. Організація «Digital Social Care» (https://www.digitalsocialcare.co.uk) акумулює кращі практики та надає підтримку надавачам соціальних послуг у цифровій трансформації. Разом із тим, критичні дослідження фіксують ризик «цифрового виключення» для вразливих клієнтів: за даними Age UK (2022), понад 4,6 млн осіб старше 65 років у Британії не користуються мережею Інтернет, що обмежує їхній доступ до цифрових соціальних послуг [Age UK, 2022; European Commission, 2021].</w:t>
      </w:r>
    </w:p>
    <w:p w14:paraId="2198877B"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Досвід Естонії</w:t>
      </w:r>
      <w:r>
        <w:rPr>
          <w:rFonts w:ascii="Times New Roman" w:eastAsia="Times New Roman" w:hAnsi="Times New Roman"/>
          <w:sz w:val="28"/>
          <w:szCs w:val="28"/>
          <w:lang w:val="uk-UA" w:eastAsia="ru-RU"/>
        </w:rPr>
        <w:t xml:space="preserve"> заслуговує на особливу увагу з огляду на його потенційну застосовність в українському контексті. Естонія є визнаним світовим лідером у сфері е-урядування: понад 99% державних послуг доступні в онлайн-форматі. У сфері соціальних послуг Естонія впровадила комплексну цифрову систему, що об'єднує реєстр соціальних потреб, систему онлайн-консультацій та механізм цифрового направлення до спеціалізованих служб. Принципово важливо, що естонська модель базується на </w:t>
      </w:r>
      <w:r>
        <w:rPr>
          <w:rFonts w:ascii="Times New Roman" w:eastAsia="Times New Roman" w:hAnsi="Times New Roman"/>
          <w:bCs/>
          <w:sz w:val="28"/>
          <w:szCs w:val="28"/>
          <w:lang w:val="uk-UA" w:eastAsia="ru-RU"/>
        </w:rPr>
        <w:t>«цифровій ідентичності»</w:t>
      </w:r>
      <w:r>
        <w:rPr>
          <w:rFonts w:ascii="Times New Roman" w:eastAsia="Times New Roman" w:hAnsi="Times New Roman"/>
          <w:sz w:val="28"/>
          <w:szCs w:val="28"/>
          <w:lang w:val="uk-UA" w:eastAsia="ru-RU"/>
        </w:rPr>
        <w:t xml:space="preserve"> (e-Identity) – захищеній електронній особистості громадянина, що забезпечує безпечну ідентифікацію та підписання документів в онлайн-середовищі [Kattel, 2018; OECD, 2022].</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426"/>
        <w:gridCol w:w="800"/>
      </w:tblGrid>
      <w:tr w:rsidR="00D208B8" w:rsidRPr="00993978" w14:paraId="7FA20D2D" w14:textId="77777777" w:rsidTr="00990A72">
        <w:tc>
          <w:tcPr>
            <w:tcW w:w="2800" w:type="dxa"/>
            <w:tcMar>
              <w:top w:w="100" w:type="dxa"/>
              <w:left w:w="120" w:type="dxa"/>
              <w:bottom w:w="100" w:type="dxa"/>
              <w:right w:w="120" w:type="dxa"/>
            </w:tcMar>
          </w:tcPr>
          <w:p w14:paraId="739247AE" w14:textId="77777777" w:rsidR="00D208B8" w:rsidRPr="00990A72"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Категорія / показник</w:t>
            </w:r>
          </w:p>
        </w:tc>
        <w:tc>
          <w:tcPr>
            <w:tcW w:w="5426" w:type="dxa"/>
            <w:tcMar>
              <w:top w:w="100" w:type="dxa"/>
              <w:left w:w="120" w:type="dxa"/>
              <w:bottom w:w="100" w:type="dxa"/>
              <w:right w:w="120" w:type="dxa"/>
            </w:tcMar>
          </w:tcPr>
          <w:p w14:paraId="4DD4E1C9" w14:textId="77777777" w:rsidR="00D208B8" w:rsidRPr="00990A72"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Частка / рівень (%)</w:t>
            </w:r>
          </w:p>
        </w:tc>
        <w:tc>
          <w:tcPr>
            <w:tcW w:w="800" w:type="dxa"/>
            <w:tcMar>
              <w:top w:w="100" w:type="dxa"/>
              <w:left w:w="120" w:type="dxa"/>
              <w:bottom w:w="100" w:type="dxa"/>
              <w:right w:w="120" w:type="dxa"/>
            </w:tcMar>
          </w:tcPr>
          <w:p w14:paraId="7AE6B45B" w14:textId="77777777" w:rsidR="00D208B8" w:rsidRPr="00990A72"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w:t>
            </w:r>
          </w:p>
        </w:tc>
      </w:tr>
      <w:tr w:rsidR="00D208B8" w:rsidRPr="00993978" w14:paraId="56E9B1FE" w14:textId="77777777" w:rsidTr="00990A72">
        <w:tc>
          <w:tcPr>
            <w:tcW w:w="2800" w:type="dxa"/>
            <w:tcMar>
              <w:top w:w="80" w:type="dxa"/>
              <w:left w:w="120" w:type="dxa"/>
              <w:bottom w:w="80" w:type="dxa"/>
              <w:right w:w="120" w:type="dxa"/>
            </w:tcMar>
          </w:tcPr>
          <w:p w14:paraId="06E07CF3"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Естонія</w:t>
            </w:r>
          </w:p>
        </w:tc>
        <w:tc>
          <w:tcPr>
            <w:tcW w:w="5426" w:type="dxa"/>
            <w:tcMar>
              <w:top w:w="80" w:type="dxa"/>
              <w:left w:w="120" w:type="dxa"/>
              <w:bottom w:w="80" w:type="dxa"/>
              <w:right w:w="120" w:type="dxa"/>
            </w:tcMar>
          </w:tcPr>
          <w:p w14:paraId="6D2624A8"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6B592B94"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87%</w:t>
            </w:r>
          </w:p>
        </w:tc>
      </w:tr>
      <w:tr w:rsidR="00D208B8" w:rsidRPr="00993978" w14:paraId="32C9E088" w14:textId="77777777" w:rsidTr="00990A72">
        <w:tc>
          <w:tcPr>
            <w:tcW w:w="2800" w:type="dxa"/>
            <w:tcMar>
              <w:top w:w="80" w:type="dxa"/>
              <w:left w:w="120" w:type="dxa"/>
              <w:bottom w:w="80" w:type="dxa"/>
              <w:right w:w="120" w:type="dxa"/>
            </w:tcMar>
          </w:tcPr>
          <w:p w14:paraId="5E5E4665"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Норвегія</w:t>
            </w:r>
          </w:p>
        </w:tc>
        <w:tc>
          <w:tcPr>
            <w:tcW w:w="5426" w:type="dxa"/>
            <w:tcMar>
              <w:top w:w="80" w:type="dxa"/>
              <w:left w:w="120" w:type="dxa"/>
              <w:bottom w:w="80" w:type="dxa"/>
              <w:right w:w="120" w:type="dxa"/>
            </w:tcMar>
          </w:tcPr>
          <w:p w14:paraId="61BF8AD3"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0C3D9D58"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73%</w:t>
            </w:r>
          </w:p>
        </w:tc>
      </w:tr>
      <w:tr w:rsidR="00D208B8" w:rsidRPr="00993978" w14:paraId="2EAA722D" w14:textId="77777777" w:rsidTr="00990A72">
        <w:tc>
          <w:tcPr>
            <w:tcW w:w="2800" w:type="dxa"/>
            <w:tcMar>
              <w:top w:w="80" w:type="dxa"/>
              <w:left w:w="120" w:type="dxa"/>
              <w:bottom w:w="80" w:type="dxa"/>
              <w:right w:w="120" w:type="dxa"/>
            </w:tcMar>
          </w:tcPr>
          <w:p w14:paraId="05B797A7"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Швеція</w:t>
            </w:r>
          </w:p>
        </w:tc>
        <w:tc>
          <w:tcPr>
            <w:tcW w:w="5426" w:type="dxa"/>
            <w:tcMar>
              <w:top w:w="80" w:type="dxa"/>
              <w:left w:w="120" w:type="dxa"/>
              <w:bottom w:w="80" w:type="dxa"/>
              <w:right w:w="120" w:type="dxa"/>
            </w:tcMar>
          </w:tcPr>
          <w:p w14:paraId="6F4197C3"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42681996"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71%</w:t>
            </w:r>
          </w:p>
        </w:tc>
      </w:tr>
      <w:tr w:rsidR="00D208B8" w:rsidRPr="00993978" w14:paraId="2518C5A3" w14:textId="77777777" w:rsidTr="00990A72">
        <w:tc>
          <w:tcPr>
            <w:tcW w:w="2800" w:type="dxa"/>
            <w:tcMar>
              <w:top w:w="80" w:type="dxa"/>
              <w:left w:w="120" w:type="dxa"/>
              <w:bottom w:w="80" w:type="dxa"/>
              <w:right w:w="120" w:type="dxa"/>
            </w:tcMar>
          </w:tcPr>
          <w:p w14:paraId="5BEAE44A"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Данія</w:t>
            </w:r>
          </w:p>
        </w:tc>
        <w:tc>
          <w:tcPr>
            <w:tcW w:w="5426" w:type="dxa"/>
            <w:tcMar>
              <w:top w:w="80" w:type="dxa"/>
              <w:left w:w="120" w:type="dxa"/>
              <w:bottom w:w="80" w:type="dxa"/>
              <w:right w:w="120" w:type="dxa"/>
            </w:tcMar>
          </w:tcPr>
          <w:p w14:paraId="5D44D0B5"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3407AA30"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68%</w:t>
            </w:r>
          </w:p>
        </w:tc>
      </w:tr>
      <w:tr w:rsidR="00D208B8" w:rsidRPr="00993978" w14:paraId="3475A707" w14:textId="77777777" w:rsidTr="00990A72">
        <w:tc>
          <w:tcPr>
            <w:tcW w:w="2800" w:type="dxa"/>
            <w:tcMar>
              <w:top w:w="80" w:type="dxa"/>
              <w:left w:w="120" w:type="dxa"/>
              <w:bottom w:w="80" w:type="dxa"/>
              <w:right w:w="120" w:type="dxa"/>
            </w:tcMar>
          </w:tcPr>
          <w:p w14:paraId="4262BBA8"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Велика Британія</w:t>
            </w:r>
          </w:p>
        </w:tc>
        <w:tc>
          <w:tcPr>
            <w:tcW w:w="5426" w:type="dxa"/>
            <w:tcMar>
              <w:top w:w="80" w:type="dxa"/>
              <w:left w:w="120" w:type="dxa"/>
              <w:bottom w:w="80" w:type="dxa"/>
              <w:right w:w="120" w:type="dxa"/>
            </w:tcMar>
          </w:tcPr>
          <w:p w14:paraId="60C5F3C5"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2525C14F"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61%</w:t>
            </w:r>
          </w:p>
        </w:tc>
      </w:tr>
      <w:tr w:rsidR="00D208B8" w:rsidRPr="00993978" w14:paraId="718336B2" w14:textId="77777777" w:rsidTr="00990A72">
        <w:tc>
          <w:tcPr>
            <w:tcW w:w="2800" w:type="dxa"/>
            <w:tcMar>
              <w:top w:w="80" w:type="dxa"/>
              <w:left w:w="120" w:type="dxa"/>
              <w:bottom w:w="80" w:type="dxa"/>
              <w:right w:w="120" w:type="dxa"/>
            </w:tcMar>
          </w:tcPr>
          <w:p w14:paraId="20957B48"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lastRenderedPageBreak/>
              <w:t>Польща</w:t>
            </w:r>
          </w:p>
        </w:tc>
        <w:tc>
          <w:tcPr>
            <w:tcW w:w="5426" w:type="dxa"/>
            <w:tcMar>
              <w:top w:w="80" w:type="dxa"/>
              <w:left w:w="120" w:type="dxa"/>
              <w:bottom w:w="80" w:type="dxa"/>
              <w:right w:w="120" w:type="dxa"/>
            </w:tcMar>
          </w:tcPr>
          <w:p w14:paraId="21A7346D"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26930713"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54%</w:t>
            </w:r>
          </w:p>
        </w:tc>
      </w:tr>
      <w:tr w:rsidR="00D208B8" w:rsidRPr="00993978" w14:paraId="12021422" w14:textId="77777777" w:rsidTr="00990A72">
        <w:tc>
          <w:tcPr>
            <w:tcW w:w="2800" w:type="dxa"/>
            <w:tcMar>
              <w:top w:w="80" w:type="dxa"/>
              <w:left w:w="120" w:type="dxa"/>
              <w:bottom w:w="80" w:type="dxa"/>
              <w:right w:w="120" w:type="dxa"/>
            </w:tcMar>
          </w:tcPr>
          <w:p w14:paraId="51D63FDA"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Україна (2025)</w:t>
            </w:r>
          </w:p>
        </w:tc>
        <w:tc>
          <w:tcPr>
            <w:tcW w:w="5426" w:type="dxa"/>
            <w:tcMar>
              <w:top w:w="80" w:type="dxa"/>
              <w:left w:w="120" w:type="dxa"/>
              <w:bottom w:w="80" w:type="dxa"/>
              <w:right w:w="120" w:type="dxa"/>
            </w:tcMar>
          </w:tcPr>
          <w:p w14:paraId="235C6B55" w14:textId="77777777" w:rsidR="00D208B8" w:rsidRPr="00993978" w:rsidRDefault="00D208B8" w:rsidP="00D208B8">
            <w:pPr>
              <w:spacing w:after="0" w:line="36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8"/>
                <w:szCs w:val="18"/>
                <w:lang w:val="uk-UA" w:eastAsia="ru-RU"/>
              </w:rPr>
              <w:t>███████████████████████░░░░░░░░░░░░░░░░░░░</w:t>
            </w:r>
          </w:p>
        </w:tc>
        <w:tc>
          <w:tcPr>
            <w:tcW w:w="800" w:type="dxa"/>
            <w:tcMar>
              <w:top w:w="80" w:type="dxa"/>
              <w:left w:w="120" w:type="dxa"/>
              <w:bottom w:w="80" w:type="dxa"/>
              <w:right w:w="120" w:type="dxa"/>
            </w:tcMar>
          </w:tcPr>
          <w:p w14:paraId="2B8E6D41"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47%</w:t>
            </w:r>
          </w:p>
        </w:tc>
      </w:tr>
    </w:tbl>
    <w:p w14:paraId="74CB14B2" w14:textId="77777777" w:rsidR="00D208B8" w:rsidRPr="00993978" w:rsidRDefault="00D208B8" w:rsidP="00D208B8">
      <w:pPr>
        <w:spacing w:after="0" w:line="360" w:lineRule="auto"/>
        <w:ind w:firstLine="709"/>
        <w:jc w:val="both"/>
        <w:rPr>
          <w:rFonts w:ascii="Times New Roman" w:eastAsia="Times New Roman" w:hAnsi="Times New Roman"/>
          <w:b/>
          <w:iCs/>
          <w:sz w:val="26"/>
          <w:szCs w:val="26"/>
          <w:lang w:val="uk-UA" w:eastAsia="ru-RU"/>
        </w:rPr>
      </w:pPr>
    </w:p>
    <w:p w14:paraId="2DE5E148" w14:textId="77777777" w:rsidR="00D208B8" w:rsidRPr="00993978" w:rsidRDefault="00D208B8" w:rsidP="00D208B8">
      <w:pPr>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iCs/>
          <w:sz w:val="26"/>
          <w:szCs w:val="26"/>
          <w:lang w:val="uk-UA" w:eastAsia="ru-RU"/>
        </w:rPr>
        <w:t>Рис. 1.2. Рівень задоволеності цифровими соціальними консультаціями у різних країнах (% задоволених користувачів, останні дані)</w:t>
      </w:r>
    </w:p>
    <w:p w14:paraId="6700614B"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p>
    <w:p w14:paraId="14A167CB"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Порівняльні дані (Рис. 1.2) свідчать про суттєву диференціацію рівня задоволеності цифровими соціальними консультаціями між країнами. Лідируючі позиції Естонії (87%) пояснюються системністю та комплексністю цифрової трансформації, що спирається на розвинену правову базу та цифрову інфраструктуру. Позиція України (47%) вказує на наявний потенціал для вдосконалення, що обумовлює актуальність цього дослідження.</w:t>
      </w:r>
    </w:p>
    <w:p w14:paraId="0F179FA8"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Досвід Польщі</w:t>
      </w:r>
      <w:r>
        <w:rPr>
          <w:rFonts w:ascii="Times New Roman" w:eastAsia="Times New Roman" w:hAnsi="Times New Roman"/>
          <w:sz w:val="28"/>
          <w:szCs w:val="28"/>
          <w:lang w:val="uk-UA" w:eastAsia="ru-RU"/>
        </w:rPr>
        <w:t xml:space="preserve"> є особливо корисним для аналізу українського контексту з огляду на схожість траєкторій трансформації пострадянської системи соціального захисту. З 2016 року Польща активно розвиває систему «e-usługi społeczne» (електронних соціальних послуг), що включає онлайн-запис до соціальних служб, дистанційні консультації та систему електронного діловодства. Водночас дослідники фіксують суттєві регіональні диспропорції: рівень охоплення цифровими послугами у сільських гмінах (муніципалітетах) суттєво нижчий, ніж у великих містах, що відтворює загальну проблему нерівності у розподілі соціальних послуг [Рева, 2022; Костюк, 2022].</w:t>
      </w:r>
    </w:p>
    <w:p w14:paraId="18549965"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Досвід США</w:t>
      </w:r>
      <w:r>
        <w:rPr>
          <w:rFonts w:ascii="Times New Roman" w:eastAsia="Times New Roman" w:hAnsi="Times New Roman"/>
          <w:sz w:val="28"/>
          <w:szCs w:val="28"/>
          <w:lang w:val="uk-UA" w:eastAsia="ru-RU"/>
        </w:rPr>
        <w:t xml:space="preserve"> цікавий своєю різноманітністю та децентралізованим характером. Оскільки соціальні послуги у США переважно організовуються на рівні штатів та місцевих громад, підходи до цифровізації суттєво різняться. Проте COVID-19 став потужним каталізатором цифровізації: за даними Американської асоціації соціальних працівників (NASW), частка соціальних послуг, що надаються у дистанційному форматі, зросла з 12% (2019) до 58% (2020) протягом кількох місяців. Після завершення гострої </w:t>
      </w:r>
      <w:r>
        <w:rPr>
          <w:rFonts w:ascii="Times New Roman" w:eastAsia="Times New Roman" w:hAnsi="Times New Roman"/>
          <w:sz w:val="28"/>
          <w:szCs w:val="28"/>
          <w:lang w:val="uk-UA" w:eastAsia="ru-RU"/>
        </w:rPr>
        <w:lastRenderedPageBreak/>
        <w:t>фази пандемії більшість агенцій зберегла значну частку дистанційних консультацій, формуючи гібридну модель «онлайн + офлайн» [Andreassen, 2019; Pereira, 2023].</w:t>
      </w:r>
    </w:p>
    <w:p w14:paraId="008D755D"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Вітчизняний контекст цифровізації соціальних послуг</w:t>
      </w:r>
      <w:r>
        <w:rPr>
          <w:rFonts w:ascii="Times New Roman" w:eastAsia="Times New Roman" w:hAnsi="Times New Roman"/>
          <w:sz w:val="28"/>
          <w:szCs w:val="28"/>
          <w:lang w:val="uk-UA" w:eastAsia="ru-RU"/>
        </w:rPr>
        <w:t xml:space="preserve"> характеризується прискореним розвитком, що значною мірою є вимушеним відповіддю на виклики збройного конфлікту. До 2022 року цифровізація соціальних послуг в Україні відбувалася відносно повільно: основним досягненням було запровадження порталу «Дія» та системи електронної взаємодії органів соціального захисту (ЄДЕССО). Повномасштабне вторгнення Росії у лютому 2022 року суттєво прискорило цей процес: руйнування фізичної інфраструктури соціальних служб у постраждалих регіонах, масове переміщення населення та необхідність надання допомоги в умовах активних бойових дій зробили цифровий формат не опцією, а необхідністю [Лахман, 2023; Дума, 2023].</w:t>
      </w:r>
    </w:p>
    <w:p w14:paraId="4DDC10B4" w14:textId="77777777" w:rsidR="00D208B8" w:rsidRPr="00993978" w:rsidRDefault="00D208B8" w:rsidP="00D208B8">
      <w:pPr>
        <w:spacing w:after="0" w:line="360" w:lineRule="auto"/>
        <w:ind w:firstLine="710"/>
        <w:jc w:val="both"/>
        <w:rPr>
          <w:rFonts w:ascii="Times New Roman" w:eastAsia="Times New Roman" w:hAnsi="Times New Roman"/>
          <w:b/>
          <w:bCs/>
          <w:iCs/>
          <w:sz w:val="26"/>
          <w:szCs w:val="26"/>
          <w:lang w:val="uk-UA" w:eastAsia="ru-RU"/>
        </w:rPr>
      </w:pPr>
      <w:r>
        <w:rPr>
          <w:rFonts w:ascii="Times New Roman" w:eastAsia="Times New Roman" w:hAnsi="Times New Roman"/>
          <w:sz w:val="28"/>
          <w:szCs w:val="28"/>
          <w:lang w:val="uk-UA" w:eastAsia="ru-RU"/>
        </w:rPr>
        <w:t xml:space="preserve">Серед ключових ініціатив цифровізації соціальних послуг в Україні варто виокремити такі. По-перше, </w:t>
      </w:r>
      <w:r>
        <w:rPr>
          <w:rFonts w:ascii="Times New Roman" w:eastAsia="Times New Roman" w:hAnsi="Times New Roman"/>
          <w:bCs/>
          <w:sz w:val="28"/>
          <w:szCs w:val="28"/>
          <w:lang w:val="uk-UA" w:eastAsia="ru-RU"/>
        </w:rPr>
        <w:t>«Єдина інформаційна система соціальної сфери»</w:t>
      </w:r>
      <w:r>
        <w:rPr>
          <w:rFonts w:ascii="Times New Roman" w:eastAsia="Times New Roman" w:hAnsi="Times New Roman"/>
          <w:sz w:val="28"/>
          <w:szCs w:val="28"/>
          <w:lang w:val="uk-UA" w:eastAsia="ru-RU"/>
        </w:rPr>
        <w:t xml:space="preserve"> (ЄІССС) – централізована база даних отримувачів соціальних послуг та виплат, що забезпечує координацію між різними відомствами. По-друге, </w:t>
      </w:r>
      <w:r>
        <w:rPr>
          <w:rFonts w:ascii="Times New Roman" w:eastAsia="Times New Roman" w:hAnsi="Times New Roman"/>
          <w:bCs/>
          <w:sz w:val="28"/>
          <w:szCs w:val="28"/>
          <w:lang w:val="uk-UA" w:eastAsia="ru-RU"/>
        </w:rPr>
        <w:t>психологічна лінія підтримки 1522</w:t>
      </w:r>
      <w:r>
        <w:rPr>
          <w:rFonts w:ascii="Times New Roman" w:eastAsia="Times New Roman" w:hAnsi="Times New Roman"/>
          <w:sz w:val="28"/>
          <w:szCs w:val="28"/>
          <w:lang w:val="uk-UA" w:eastAsia="ru-RU"/>
        </w:rPr>
        <w:t xml:space="preserve"> («Ти як?») – державна служба психологічної допомоги, що функціонує в онлайн та телефонному форматах та за час існування (з 2022 р.) опрацювала понад 1,2 млн звернень. По-третє, </w:t>
      </w:r>
      <w:r>
        <w:rPr>
          <w:rFonts w:ascii="Times New Roman" w:eastAsia="Times New Roman" w:hAnsi="Times New Roman"/>
          <w:bCs/>
          <w:sz w:val="28"/>
          <w:szCs w:val="28"/>
          <w:lang w:val="uk-UA" w:eastAsia="ru-RU"/>
        </w:rPr>
        <w:t>чат-боти та онлайн-консультанти</w:t>
      </w:r>
      <w:r>
        <w:rPr>
          <w:rFonts w:ascii="Times New Roman" w:eastAsia="Times New Roman" w:hAnsi="Times New Roman"/>
          <w:sz w:val="28"/>
          <w:szCs w:val="28"/>
          <w:lang w:val="uk-UA" w:eastAsia="ru-RU"/>
        </w:rPr>
        <w:t xml:space="preserve"> низки громадських організацій (БФ «Право на захист», «Голоси дітей», «Мережа ПЕН»), що надають правові та соціально-психологічні консультації [УВКБ ООН, 2023; Жук, 2023].</w:t>
      </w:r>
    </w:p>
    <w:p w14:paraId="0E79B1C5" w14:textId="77777777" w:rsidR="00D208B8" w:rsidRPr="00993978" w:rsidRDefault="00D208B8" w:rsidP="00D208B8">
      <w:pPr>
        <w:spacing w:after="0" w:line="360" w:lineRule="auto"/>
        <w:jc w:val="right"/>
        <w:rPr>
          <w:rFonts w:ascii="Times New Roman" w:eastAsia="Times New Roman" w:hAnsi="Times New Roman"/>
          <w:b/>
          <w:bCs/>
          <w:iCs/>
          <w:sz w:val="26"/>
          <w:szCs w:val="26"/>
          <w:lang w:val="uk-UA" w:eastAsia="ru-RU"/>
        </w:rPr>
      </w:pPr>
      <w:r>
        <w:rPr>
          <w:rFonts w:ascii="Times New Roman" w:eastAsia="Times New Roman" w:hAnsi="Times New Roman"/>
          <w:b/>
          <w:bCs/>
          <w:iCs/>
          <w:sz w:val="26"/>
          <w:szCs w:val="26"/>
          <w:lang w:val="uk-UA" w:eastAsia="ru-RU"/>
        </w:rPr>
        <w:t xml:space="preserve">Таблиця 1.3. </w:t>
      </w:r>
    </w:p>
    <w:p w14:paraId="6DA5927A" w14:textId="77777777" w:rsidR="00D208B8" w:rsidRPr="00993978" w:rsidRDefault="00D208B8" w:rsidP="00D208B8">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iCs/>
          <w:sz w:val="26"/>
          <w:szCs w:val="26"/>
          <w:lang w:val="uk-UA" w:eastAsia="ru-RU"/>
        </w:rPr>
        <w:t>Порівняльний аналіз моделей цифрових консультаційних практик у соціальній роботі</w:t>
      </w:r>
    </w:p>
    <w:tbl>
      <w:tblPr>
        <w:tblStyle w:val="ListTable3"/>
        <w:tblW w:w="9026" w:type="dxa"/>
        <w:tblLook w:val="0000" w:firstRow="0" w:lastRow="0" w:firstColumn="0" w:lastColumn="0" w:noHBand="0" w:noVBand="0"/>
      </w:tblPr>
      <w:tblGrid>
        <w:gridCol w:w="2076"/>
        <w:gridCol w:w="1525"/>
        <w:gridCol w:w="1820"/>
        <w:gridCol w:w="1890"/>
        <w:gridCol w:w="1715"/>
      </w:tblGrid>
      <w:tr w:rsidR="00D208B8" w:rsidRPr="00993978" w14:paraId="151488D5" w14:textId="77777777" w:rsidTr="00990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00" w:type="dxa"/>
          </w:tcPr>
          <w:p w14:paraId="03F15034"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Країна / модель</w:t>
            </w:r>
          </w:p>
        </w:tc>
        <w:tc>
          <w:tcPr>
            <w:tcW w:w="1700" w:type="dxa"/>
          </w:tcPr>
          <w:p w14:paraId="5B9E945C" w14:textId="77777777" w:rsidR="00D208B8" w:rsidRPr="00993978" w:rsidRDefault="00D208B8" w:rsidP="00D208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Правова база</w:t>
            </w:r>
          </w:p>
        </w:tc>
        <w:tc>
          <w:tcPr>
            <w:cnfStyle w:val="000010000000" w:firstRow="0" w:lastRow="0" w:firstColumn="0" w:lastColumn="0" w:oddVBand="1" w:evenVBand="0" w:oddHBand="0" w:evenHBand="0" w:firstRowFirstColumn="0" w:firstRowLastColumn="0" w:lastRowFirstColumn="0" w:lastRowLastColumn="0"/>
            <w:tcW w:w="2000" w:type="dxa"/>
          </w:tcPr>
          <w:p w14:paraId="6DAE7379"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Ключові платформи</w:t>
            </w:r>
          </w:p>
        </w:tc>
        <w:tc>
          <w:tcPr>
            <w:tcW w:w="2126" w:type="dxa"/>
          </w:tcPr>
          <w:p w14:paraId="5890D1EE" w14:textId="77777777" w:rsidR="00D208B8" w:rsidRPr="00993978" w:rsidRDefault="00D208B8" w:rsidP="00D208B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Охоплення (% от послуг онлайн)</w:t>
            </w:r>
          </w:p>
        </w:tc>
        <w:tc>
          <w:tcPr>
            <w:cnfStyle w:val="000010000000" w:firstRow="0" w:lastRow="0" w:firstColumn="0" w:lastColumn="0" w:oddVBand="1" w:evenVBand="0" w:oddHBand="0" w:evenHBand="0" w:firstRowFirstColumn="0" w:firstRowLastColumn="0" w:lastRowFirstColumn="0" w:lastRowLastColumn="0"/>
            <w:tcW w:w="1600" w:type="dxa"/>
          </w:tcPr>
          <w:p w14:paraId="46D283BB"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Рівень задоволеності</w:t>
            </w:r>
          </w:p>
        </w:tc>
      </w:tr>
      <w:tr w:rsidR="00D208B8" w:rsidRPr="00993978" w14:paraId="36BA66CE" w14:textId="77777777" w:rsidTr="00990A72">
        <w:tc>
          <w:tcPr>
            <w:cnfStyle w:val="000010000000" w:firstRow="0" w:lastRow="0" w:firstColumn="0" w:lastColumn="0" w:oddVBand="1" w:evenVBand="0" w:oddHBand="0" w:evenHBand="0" w:firstRowFirstColumn="0" w:firstRowLastColumn="0" w:lastRowFirstColumn="0" w:lastRowLastColumn="0"/>
            <w:tcW w:w="1600" w:type="dxa"/>
          </w:tcPr>
          <w:p w14:paraId="4FD21C6F"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Естонія (комплексна е-</w:t>
            </w:r>
            <w:r>
              <w:rPr>
                <w:rFonts w:ascii="Times New Roman" w:eastAsia="Times New Roman" w:hAnsi="Times New Roman"/>
                <w:sz w:val="24"/>
                <w:szCs w:val="24"/>
                <w:lang w:val="uk-UA" w:eastAsia="ru-RU"/>
              </w:rPr>
              <w:lastRenderedPageBreak/>
              <w:t>модель)</w:t>
            </w:r>
          </w:p>
        </w:tc>
        <w:tc>
          <w:tcPr>
            <w:tcW w:w="1700" w:type="dxa"/>
          </w:tcPr>
          <w:p w14:paraId="4A99ABFC"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lastRenderedPageBreak/>
              <w:t>e-Estonia Act (2001+)</w:t>
            </w:r>
          </w:p>
        </w:tc>
        <w:tc>
          <w:tcPr>
            <w:cnfStyle w:val="000010000000" w:firstRow="0" w:lastRow="0" w:firstColumn="0" w:lastColumn="0" w:oddVBand="1" w:evenVBand="0" w:oddHBand="0" w:evenHBand="0" w:firstRowFirstColumn="0" w:firstRowLastColumn="0" w:lastRowFirstColumn="0" w:lastRowLastColumn="0"/>
            <w:tcW w:w="2000" w:type="dxa"/>
          </w:tcPr>
          <w:p w14:paraId="0467BE57"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e-Social, X-Road, ID-card</w:t>
            </w:r>
          </w:p>
        </w:tc>
        <w:tc>
          <w:tcPr>
            <w:tcW w:w="2126" w:type="dxa"/>
          </w:tcPr>
          <w:p w14:paraId="1AFDB047"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xml:space="preserve">99% держпослуг </w:t>
            </w:r>
            <w:r>
              <w:rPr>
                <w:rFonts w:ascii="Times New Roman" w:eastAsia="Times New Roman" w:hAnsi="Times New Roman"/>
                <w:sz w:val="24"/>
                <w:szCs w:val="24"/>
                <w:lang w:val="uk-UA" w:eastAsia="ru-RU"/>
              </w:rPr>
              <w:lastRenderedPageBreak/>
              <w:t>онлайн</w:t>
            </w:r>
          </w:p>
        </w:tc>
        <w:tc>
          <w:tcPr>
            <w:cnfStyle w:val="000010000000" w:firstRow="0" w:lastRow="0" w:firstColumn="0" w:lastColumn="0" w:oddVBand="1" w:evenVBand="0" w:oddHBand="0" w:evenHBand="0" w:firstRowFirstColumn="0" w:firstRowLastColumn="0" w:lastRowFirstColumn="0" w:lastRowLastColumn="0"/>
            <w:tcW w:w="1600" w:type="dxa"/>
          </w:tcPr>
          <w:p w14:paraId="11604EC4"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lastRenderedPageBreak/>
              <w:t>87%</w:t>
            </w:r>
          </w:p>
        </w:tc>
      </w:tr>
      <w:tr w:rsidR="00D208B8" w:rsidRPr="00993978" w14:paraId="7E73DD5F" w14:textId="77777777" w:rsidTr="00990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00" w:type="dxa"/>
          </w:tcPr>
          <w:p w14:paraId="2806D01E"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lastRenderedPageBreak/>
              <w:t>Норвегія (NAV-модель)</w:t>
            </w:r>
          </w:p>
        </w:tc>
        <w:tc>
          <w:tcPr>
            <w:tcW w:w="1700" w:type="dxa"/>
          </w:tcPr>
          <w:p w14:paraId="286ADC3A" w14:textId="77777777" w:rsidR="00D208B8" w:rsidRPr="00993978" w:rsidRDefault="00D208B8"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NAV Act, GDPR</w:t>
            </w:r>
          </w:p>
        </w:tc>
        <w:tc>
          <w:tcPr>
            <w:cnfStyle w:val="000010000000" w:firstRow="0" w:lastRow="0" w:firstColumn="0" w:lastColumn="0" w:oddVBand="1" w:evenVBand="0" w:oddHBand="0" w:evenHBand="0" w:firstRowFirstColumn="0" w:firstRowLastColumn="0" w:lastRowFirstColumn="0" w:lastRowLastColumn="0"/>
            <w:tcW w:w="2000" w:type="dxa"/>
          </w:tcPr>
          <w:p w14:paraId="268F61EE"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nav.no, відеодзвінки, захищений чат</w:t>
            </w:r>
          </w:p>
        </w:tc>
        <w:tc>
          <w:tcPr>
            <w:tcW w:w="2126" w:type="dxa"/>
          </w:tcPr>
          <w:p w14:paraId="65ACBE87" w14:textId="77777777" w:rsidR="00D208B8" w:rsidRPr="00993978" w:rsidRDefault="00D208B8"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~70% первинних консультацій</w:t>
            </w:r>
          </w:p>
        </w:tc>
        <w:tc>
          <w:tcPr>
            <w:cnfStyle w:val="000010000000" w:firstRow="0" w:lastRow="0" w:firstColumn="0" w:lastColumn="0" w:oddVBand="1" w:evenVBand="0" w:oddHBand="0" w:evenHBand="0" w:firstRowFirstColumn="0" w:firstRowLastColumn="0" w:lastRowFirstColumn="0" w:lastRowLastColumn="0"/>
            <w:tcW w:w="1600" w:type="dxa"/>
          </w:tcPr>
          <w:p w14:paraId="2F161D6E"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73%</w:t>
            </w:r>
          </w:p>
        </w:tc>
      </w:tr>
      <w:tr w:rsidR="00D208B8" w:rsidRPr="00993978" w14:paraId="2AC1EEB3" w14:textId="77777777" w:rsidTr="00990A72">
        <w:tc>
          <w:tcPr>
            <w:cnfStyle w:val="000010000000" w:firstRow="0" w:lastRow="0" w:firstColumn="0" w:lastColumn="0" w:oddVBand="1" w:evenVBand="0" w:oddHBand="0" w:evenHBand="0" w:firstRowFirstColumn="0" w:firstRowLastColumn="0" w:lastRowFirstColumn="0" w:lastRowLastColumn="0"/>
            <w:tcW w:w="1600" w:type="dxa"/>
          </w:tcPr>
          <w:p w14:paraId="3E00929A"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Велика Британія (Digital by Default)</w:t>
            </w:r>
          </w:p>
        </w:tc>
        <w:tc>
          <w:tcPr>
            <w:tcW w:w="1700" w:type="dxa"/>
          </w:tcPr>
          <w:p w14:paraId="3704F8FC"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Care Act 2014, GDPR</w:t>
            </w:r>
          </w:p>
        </w:tc>
        <w:tc>
          <w:tcPr>
            <w:cnfStyle w:val="000010000000" w:firstRow="0" w:lastRow="0" w:firstColumn="0" w:lastColumn="0" w:oddVBand="1" w:evenVBand="0" w:oddHBand="0" w:evenHBand="0" w:firstRowFirstColumn="0" w:firstRowLastColumn="0" w:lastRowFirstColumn="0" w:lastRowLastColumn="0"/>
            <w:tcW w:w="2000" w:type="dxa"/>
          </w:tcPr>
          <w:p w14:paraId="54D0A99F"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Gov.uk, NHS App, локальні платформи</w:t>
            </w:r>
          </w:p>
        </w:tc>
        <w:tc>
          <w:tcPr>
            <w:tcW w:w="2126" w:type="dxa"/>
          </w:tcPr>
          <w:p w14:paraId="64081CF0"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~60% первинних звернень</w:t>
            </w:r>
          </w:p>
        </w:tc>
        <w:tc>
          <w:tcPr>
            <w:cnfStyle w:val="000010000000" w:firstRow="0" w:lastRow="0" w:firstColumn="0" w:lastColumn="0" w:oddVBand="1" w:evenVBand="0" w:oddHBand="0" w:evenHBand="0" w:firstRowFirstColumn="0" w:firstRowLastColumn="0" w:lastRowFirstColumn="0" w:lastRowLastColumn="0"/>
            <w:tcW w:w="1600" w:type="dxa"/>
          </w:tcPr>
          <w:p w14:paraId="264B1DC6"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61%</w:t>
            </w:r>
          </w:p>
        </w:tc>
      </w:tr>
      <w:tr w:rsidR="00D208B8" w:rsidRPr="00993978" w14:paraId="69BA9794" w14:textId="77777777" w:rsidTr="00990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00" w:type="dxa"/>
          </w:tcPr>
          <w:p w14:paraId="6CEF2496"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США (децентралізована модель)</w:t>
            </w:r>
          </w:p>
        </w:tc>
        <w:tc>
          <w:tcPr>
            <w:tcW w:w="1700" w:type="dxa"/>
          </w:tcPr>
          <w:p w14:paraId="2D5B8D59" w14:textId="77777777" w:rsidR="00D208B8" w:rsidRPr="00993978" w:rsidRDefault="00D208B8"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HIPAA (1996), штатові закони</w:t>
            </w:r>
          </w:p>
        </w:tc>
        <w:tc>
          <w:tcPr>
            <w:cnfStyle w:val="000010000000" w:firstRow="0" w:lastRow="0" w:firstColumn="0" w:lastColumn="0" w:oddVBand="1" w:evenVBand="0" w:oddHBand="0" w:evenHBand="0" w:firstRowFirstColumn="0" w:firstRowLastColumn="0" w:lastRowFirstColumn="0" w:lastRowLastColumn="0"/>
            <w:tcW w:w="2000" w:type="dxa"/>
          </w:tcPr>
          <w:p w14:paraId="2C4A56BD"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BetterHelp, Telehealth, штатові системи</w:t>
            </w:r>
          </w:p>
        </w:tc>
        <w:tc>
          <w:tcPr>
            <w:tcW w:w="2126" w:type="dxa"/>
          </w:tcPr>
          <w:p w14:paraId="3AEE6E79" w14:textId="77777777" w:rsidR="00D208B8" w:rsidRPr="00993978" w:rsidRDefault="00D208B8"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~58% (після COVID)</w:t>
            </w:r>
          </w:p>
        </w:tc>
        <w:tc>
          <w:tcPr>
            <w:cnfStyle w:val="000010000000" w:firstRow="0" w:lastRow="0" w:firstColumn="0" w:lastColumn="0" w:oddVBand="1" w:evenVBand="0" w:oddHBand="0" w:evenHBand="0" w:firstRowFirstColumn="0" w:firstRowLastColumn="0" w:lastRowFirstColumn="0" w:lastRowLastColumn="0"/>
            <w:tcW w:w="1600" w:type="dxa"/>
          </w:tcPr>
          <w:p w14:paraId="6810DB51"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62%</w:t>
            </w:r>
          </w:p>
        </w:tc>
      </w:tr>
      <w:tr w:rsidR="00D208B8" w:rsidRPr="00993978" w14:paraId="39935249" w14:textId="77777777" w:rsidTr="00990A72">
        <w:tc>
          <w:tcPr>
            <w:cnfStyle w:val="000010000000" w:firstRow="0" w:lastRow="0" w:firstColumn="0" w:lastColumn="0" w:oddVBand="1" w:evenVBand="0" w:oddHBand="0" w:evenHBand="0" w:firstRowFirstColumn="0" w:firstRowLastColumn="0" w:lastRowFirstColumn="0" w:lastRowLastColumn="0"/>
            <w:tcW w:w="1600" w:type="dxa"/>
          </w:tcPr>
          <w:p w14:paraId="3655EAD9"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Польща (e-usługi)</w:t>
            </w:r>
          </w:p>
        </w:tc>
        <w:tc>
          <w:tcPr>
            <w:tcW w:w="1700" w:type="dxa"/>
          </w:tcPr>
          <w:p w14:paraId="191F57C2"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Ustawa o pomocy społecznej, RODO</w:t>
            </w:r>
          </w:p>
        </w:tc>
        <w:tc>
          <w:tcPr>
            <w:cnfStyle w:val="000010000000" w:firstRow="0" w:lastRow="0" w:firstColumn="0" w:lastColumn="0" w:oddVBand="1" w:evenVBand="0" w:oddHBand="0" w:evenHBand="0" w:firstRowFirstColumn="0" w:firstRowLastColumn="0" w:lastRowFirstColumn="0" w:lastRowLastColumn="0"/>
            <w:tcW w:w="2000" w:type="dxa"/>
          </w:tcPr>
          <w:p w14:paraId="6276678B"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Emp@tia, ePUAP</w:t>
            </w:r>
          </w:p>
        </w:tc>
        <w:tc>
          <w:tcPr>
            <w:tcW w:w="2126" w:type="dxa"/>
          </w:tcPr>
          <w:p w14:paraId="736F36EE" w14:textId="77777777" w:rsidR="00D208B8" w:rsidRPr="00993978" w:rsidRDefault="00D208B8" w:rsidP="00D208B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~40% звернень</w:t>
            </w:r>
          </w:p>
        </w:tc>
        <w:tc>
          <w:tcPr>
            <w:cnfStyle w:val="000010000000" w:firstRow="0" w:lastRow="0" w:firstColumn="0" w:lastColumn="0" w:oddVBand="1" w:evenVBand="0" w:oddHBand="0" w:evenHBand="0" w:firstRowFirstColumn="0" w:firstRowLastColumn="0" w:lastRowFirstColumn="0" w:lastRowLastColumn="0"/>
            <w:tcW w:w="1600" w:type="dxa"/>
          </w:tcPr>
          <w:p w14:paraId="0C9B36D5"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54%</w:t>
            </w:r>
          </w:p>
        </w:tc>
      </w:tr>
      <w:tr w:rsidR="00D208B8" w:rsidRPr="00993978" w14:paraId="0F9B95CF" w14:textId="77777777" w:rsidTr="00990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00" w:type="dxa"/>
          </w:tcPr>
          <w:p w14:paraId="63C88A3E"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Україна (змішана модель)</w:t>
            </w:r>
          </w:p>
        </w:tc>
        <w:tc>
          <w:tcPr>
            <w:tcW w:w="1700" w:type="dxa"/>
          </w:tcPr>
          <w:p w14:paraId="1F6C508E" w14:textId="77777777" w:rsidR="00D208B8" w:rsidRPr="00993978" w:rsidRDefault="00D208B8"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ЗУ №2671, Закон про Дію</w:t>
            </w:r>
          </w:p>
        </w:tc>
        <w:tc>
          <w:tcPr>
            <w:cnfStyle w:val="000010000000" w:firstRow="0" w:lastRow="0" w:firstColumn="0" w:lastColumn="0" w:oddVBand="1" w:evenVBand="0" w:oddHBand="0" w:evenHBand="0" w:firstRowFirstColumn="0" w:firstRowLastColumn="0" w:lastRowFirstColumn="0" w:lastRowLastColumn="0"/>
            <w:tcW w:w="2000" w:type="dxa"/>
          </w:tcPr>
          <w:p w14:paraId="195B1DDF" w14:textId="77777777" w:rsidR="00D208B8" w:rsidRPr="00993978" w:rsidRDefault="00D208B8" w:rsidP="00D208B8">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Дія, ЄІССС, 1522, Telegram-боти</w:t>
            </w:r>
          </w:p>
        </w:tc>
        <w:tc>
          <w:tcPr>
            <w:tcW w:w="2126" w:type="dxa"/>
          </w:tcPr>
          <w:p w14:paraId="5795B606" w14:textId="77777777" w:rsidR="00D208B8" w:rsidRPr="00993978" w:rsidRDefault="00E8076F" w:rsidP="00D208B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~35–40% (2025)</w:t>
            </w:r>
          </w:p>
        </w:tc>
        <w:tc>
          <w:tcPr>
            <w:cnfStyle w:val="000010000000" w:firstRow="0" w:lastRow="0" w:firstColumn="0" w:lastColumn="0" w:oddVBand="1" w:evenVBand="0" w:oddHBand="0" w:evenHBand="0" w:firstRowFirstColumn="0" w:firstRowLastColumn="0" w:lastRowFirstColumn="0" w:lastRowLastColumn="0"/>
            <w:tcW w:w="1600" w:type="dxa"/>
          </w:tcPr>
          <w:p w14:paraId="2574DEFF" w14:textId="77777777" w:rsidR="00D208B8" w:rsidRPr="00993978" w:rsidRDefault="00D208B8" w:rsidP="00D208B8">
            <w:pPr>
              <w:jc w:val="center"/>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47%</w:t>
            </w:r>
          </w:p>
        </w:tc>
      </w:tr>
    </w:tbl>
    <w:p w14:paraId="5ECEF060" w14:textId="77777777" w:rsidR="00D208B8" w:rsidRPr="00993978" w:rsidRDefault="00D208B8" w:rsidP="00D208B8">
      <w:pPr>
        <w:spacing w:after="120" w:line="360" w:lineRule="auto"/>
        <w:jc w:val="both"/>
        <w:rPr>
          <w:rFonts w:ascii="Times New Roman" w:eastAsia="Times New Roman" w:hAnsi="Times New Roman"/>
          <w:sz w:val="28"/>
          <w:szCs w:val="28"/>
          <w:lang w:val="uk-UA" w:eastAsia="ru-RU"/>
        </w:rPr>
      </w:pPr>
    </w:p>
    <w:p w14:paraId="43E88C55"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Порівняльний аналіз (Табл. 1.3.) дозволяє виокремити кілька ключових чинників успіху цифрових консультаційних практик. По-перше, наявність чіткої правової бази, що регулює як порядок надання цифрових послуг, так і захист персональних даних клієнтів. По-друге, розвинена технічна інфраструктура та забезпечення цифрового доступу для широких верств населення. По-третє, системна підготовка фахівців до роботи у цифровому форматі. По-четверте, ефективні механізми зворотного зв'язку та оцінювання якості цифрових послуг. По-п'яте, збереження альтернативних офлайн-каналів для осіб, що не можуть або не бажають використовувати цифрові послуги.</w:t>
      </w:r>
    </w:p>
    <w:p w14:paraId="4B5C8394"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Досвід пандемії COVID-19 та збройного конфлікту в Україні надав унікальний масив даних про функціонування цифрових соціальних послуг в умовах кризи. Дослідження ВООЗ (2021) та низки наукових груп показали, що дистанційний формат успішно справляється з завданнями первинного консультування, надання інформаційної підтримки та ведення справ у стабільних ситуаціях, але виявляє обмеження при роботі зі складними випадками, кризовими ситуаціями та клієнтами з множинними потребами. Це зумовлює необхідність розвитку </w:t>
      </w:r>
      <w:r>
        <w:rPr>
          <w:rFonts w:ascii="Times New Roman" w:eastAsia="Times New Roman" w:hAnsi="Times New Roman"/>
          <w:b/>
          <w:bCs/>
          <w:sz w:val="28"/>
          <w:szCs w:val="28"/>
          <w:lang w:val="uk-UA" w:eastAsia="ru-RU"/>
        </w:rPr>
        <w:t>«гібридних моделей»</w:t>
      </w:r>
      <w:r>
        <w:rPr>
          <w:rFonts w:ascii="Times New Roman" w:eastAsia="Times New Roman" w:hAnsi="Times New Roman"/>
          <w:sz w:val="28"/>
          <w:szCs w:val="28"/>
          <w:lang w:val="uk-UA" w:eastAsia="ru-RU"/>
        </w:rPr>
        <w:t xml:space="preserve"> соціального </w:t>
      </w:r>
      <w:r>
        <w:rPr>
          <w:rFonts w:ascii="Times New Roman" w:eastAsia="Times New Roman" w:hAnsi="Times New Roman"/>
          <w:sz w:val="28"/>
          <w:szCs w:val="28"/>
          <w:lang w:val="uk-UA" w:eastAsia="ru-RU"/>
        </w:rPr>
        <w:lastRenderedPageBreak/>
        <w:t>обслуговування, де цифровий та очний формати доповнюють одне одного, а не замінюють [WHO, 2021; European Commission, 2022].</w:t>
      </w:r>
    </w:p>
    <w:p w14:paraId="3730916B"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 Україні важливим напрямом розвитку цифрових консультаційних практик є взаємодія між державними соціальними службами та недержавним сектором (громадськими організаціями, волонтерськими мережами). Під час активної фази конфлікту саме недержавні організації нерідко ставали «цифровими воротарями» (digital gatekeepers) – першою точкою контакту між вразливою особою та системою соціальної допомоги. Чат-боти та онлайн-консультанти організацій УВКБ ООН, БФ «Право на захист», «ЦентрUA» обробляли мільйони звернень від ВПО, надаючи первинні консультації та направляючи до профільних служб [УВКБ ООН, 2023].</w:t>
      </w:r>
    </w:p>
    <w:p w14:paraId="5D4788BE"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Проте вітчизняна практика цифрових соціальних консультацій має й суттєві недоліки. Серед них – фрагментарність та нескоординованість цифрових ініціатив різних відомств та організацій; відсутність єдиних стандартів якості для цифрових консультацій; нерівномірне охоплення різних категорій населення; низький рівень цифрової грамотності частини соціальних працівників старшого покоління; ризики порушення конфіденційності при використанні незахищених каналів зв'язку (зокрема, звичайних месенджерів без шифрування). Ці проблеми є предметом подальшого аналізу у другому та третьому розділах роботи [Рева, 2022; Бойко, 2021].</w:t>
      </w:r>
    </w:p>
    <w:p w14:paraId="1C55B6D2"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Таким чином, аналіз зарубіжного та вітчизняного досвіду використання цифрових консультаційних практик у соціальній роботі дозволяє виявити як успішні моделі та умови їх ефективності, так і характерні виклики та обмеження. Цей досвід є важливою аналітичною рамкою для дослідження якості цифрових соціальних послуг в Україні та розробки рекомендацій щодо їх вдосконалення.</w:t>
      </w:r>
    </w:p>
    <w:p w14:paraId="1F5348F1"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5922174C"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1 розділу</w:t>
      </w:r>
    </w:p>
    <w:p w14:paraId="0BE49EF8"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5CB35A32"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Теоретико-методологічний аналіз, здійснений у першому розділі, дозволяє сформулювати такі висновки, що становлять концептуальне підґрунтя для подальшого емпіричного дослідження.</w:t>
      </w:r>
    </w:p>
    <w:p w14:paraId="679822A7"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По-перше</w:t>
      </w:r>
      <w:r>
        <w:rPr>
          <w:rFonts w:ascii="Times New Roman" w:eastAsia="Times New Roman" w:hAnsi="Times New Roman"/>
          <w:sz w:val="28"/>
          <w:szCs w:val="28"/>
          <w:lang w:val="uk-UA" w:eastAsia="ru-RU"/>
        </w:rPr>
        <w:t xml:space="preserve">, поняття якості соціальних послуг є багатовимірним концептом, що поєднує нормативний, управлінський та клієнтоцентричний виміри. Класична модель SERVQUAL (Парасураман, 1988), тривимірна модель Донабедіана (структура → процес → результат) та вимоги Закону України «Про соціальні послуги» (2019) формують взаємодоповнюючу аналітичну рамку. Для цифрових форм надання послуг традиційні критерії якості (надійність, чуйність, емпатія, доступність, результативність) зберігають свою актуальність, однак доповнюються специфічними цифровими вимірами: юзабіліті інтерфейсу, цифровою безпекою та конфіденційністю, якістю технічного зв'язку, цифровою доступністю для всіх категорій населення та цифровою компетентністю персоналу. </w:t>
      </w:r>
    </w:p>
    <w:p w14:paraId="52764F7C"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По-друге</w:t>
      </w:r>
      <w:r>
        <w:rPr>
          <w:rFonts w:ascii="Times New Roman" w:eastAsia="Times New Roman" w:hAnsi="Times New Roman"/>
          <w:sz w:val="28"/>
          <w:szCs w:val="28"/>
          <w:lang w:val="uk-UA" w:eastAsia="ru-RU"/>
        </w:rPr>
        <w:t>, цифрові технології у сфері соціальної роботи класифікуються за кількома критеріями: комунікаційні (відеоплатформи, месенджери, чат-боти), інформаційні (CRM, електронні реєстри), аналітичні (AI, Big Data) та інтерфейсні (веб-портали, мобільні застосунки). Функціональне значення цифровізації реалізується через три основні механізми: розширення географічного охвату послуг (що особливо актуально для України в умовах воєнного конфлікту), підвищення оперативності реагування та оптимізацію управлінських процесів. Водночас цифровізація несе в собі суттєві ризики: цифровий розрив між різними соціальними групами, ослаблення «терапевтичного альянсу» між фахівцем і клієнтом, загрози кібербезпеці та конфіденційності, а також проблема алгоритмічної упередженості в аналітичних системах. Аналіз даних показує, що більшість соціальних служб України освоїла базові цифрові комунікаційні інструменти (e-mail – 91%, месенджери – 84%), тоді як складніші цифрові рішення залишаються поки що в меншості (CRM – 38%, мобільні застосунки – 21%).</w:t>
      </w:r>
    </w:p>
    <w:p w14:paraId="1FD43AB0"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lastRenderedPageBreak/>
        <w:t>По-третє</w:t>
      </w:r>
      <w:r>
        <w:rPr>
          <w:rFonts w:ascii="Times New Roman" w:eastAsia="Times New Roman" w:hAnsi="Times New Roman"/>
          <w:sz w:val="28"/>
          <w:szCs w:val="28"/>
          <w:lang w:val="uk-UA" w:eastAsia="ru-RU"/>
        </w:rPr>
        <w:t>, порівняльний аналіз зарубіжного досвіду виявляє значну диференціацію у рівні розвитку та якості цифрових консультаційних практик: від комплексних системних моделей (Естонія, 87% задоволеності) до фрагментарних ініціатив (Польща, 54%; Україна, 47%). Ключовими чинниками успіху є наявність чіткої правової бази, розвинена цифрова інфраструктура, системна підготовка персоналу та збереження альтернативних офлайн-каналів. В Україні цифровізація соціальних послуг прискорилася під впливом збройного конфлікту, однак залишається фрагментарною та нескоординованою. Критично важливими проблемами є відсутність єдиних стандартів якості цифрових консультацій, нерівномірне охоплення різних категорій населення та ризики порушення конфіденційності. Передовий досвід скандинавських країн, Великобританії та Естонії свідчить на користь розвитку гібридних моделей соціального обслуговування, що поєднують переваги цифрового та очного форматів.</w:t>
      </w:r>
    </w:p>
    <w:p w14:paraId="2BDC4855" w14:textId="77777777" w:rsidR="00D208B8" w:rsidRPr="00993978" w:rsidRDefault="00D208B8" w:rsidP="00D208B8">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Отримані теоретичні висновки формують концептуальне підґрунтя для аналітичної оцінки якості надання соціальних послуг у дистанційному форматі, що здійснюватиметься у другому розділі роботи.</w:t>
      </w:r>
    </w:p>
    <w:p w14:paraId="3CCFA8EA" w14:textId="6B7C31B0" w:rsidR="00F22ADF" w:rsidRDefault="00F22ADF" w:rsidP="00F22ADF">
      <w:pPr>
        <w:spacing w:after="0" w:line="360" w:lineRule="auto"/>
        <w:ind w:firstLine="709"/>
        <w:jc w:val="both"/>
        <w:rPr>
          <w:rFonts w:ascii="Times New Roman" w:hAnsi="Times New Roman"/>
          <w:b/>
          <w:sz w:val="28"/>
          <w:szCs w:val="28"/>
          <w:lang w:val="uk-UA"/>
        </w:rPr>
      </w:pPr>
    </w:p>
    <w:p w14:paraId="168B2D5E" w14:textId="74582F82" w:rsidR="00990A72" w:rsidRDefault="00990A72" w:rsidP="00F22ADF">
      <w:pPr>
        <w:spacing w:after="0" w:line="360" w:lineRule="auto"/>
        <w:ind w:firstLine="709"/>
        <w:jc w:val="both"/>
        <w:rPr>
          <w:rFonts w:ascii="Times New Roman" w:hAnsi="Times New Roman"/>
          <w:b/>
          <w:sz w:val="28"/>
          <w:szCs w:val="28"/>
          <w:lang w:val="uk-UA"/>
        </w:rPr>
      </w:pPr>
    </w:p>
    <w:p w14:paraId="76238F8D" w14:textId="77777777" w:rsidR="00990A72" w:rsidRPr="00993978" w:rsidRDefault="00990A72" w:rsidP="00F22ADF">
      <w:pPr>
        <w:spacing w:after="0" w:line="360" w:lineRule="auto"/>
        <w:ind w:firstLine="709"/>
        <w:jc w:val="both"/>
        <w:rPr>
          <w:rFonts w:ascii="Times New Roman" w:hAnsi="Times New Roman"/>
          <w:b/>
          <w:sz w:val="28"/>
          <w:szCs w:val="28"/>
          <w:lang w:val="uk-UA"/>
        </w:rPr>
      </w:pPr>
    </w:p>
    <w:p w14:paraId="058FF027" w14:textId="77777777" w:rsidR="00F47BB4" w:rsidRPr="00993978" w:rsidRDefault="00F47BB4" w:rsidP="00F47BB4">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РОЗДІЛ ІІ. АНАЛІТИЧНА ОЦІНКА ЯКОСТІ НАДАННЯ СОЦІАЛЬНИХ ПОСЛУГ У ДИСТАНЦІЙНОМУ ФОРМАТІ</w:t>
      </w:r>
    </w:p>
    <w:p w14:paraId="7DFCC528"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65248A30" w14:textId="77777777" w:rsidR="00F47BB4" w:rsidRPr="00993978" w:rsidRDefault="00F47BB4" w:rsidP="00F47BB4">
      <w:pPr>
        <w:spacing w:after="0" w:line="360" w:lineRule="auto"/>
        <w:ind w:firstLine="851"/>
        <w:jc w:val="both"/>
        <w:rPr>
          <w:rFonts w:ascii="Times New Roman" w:hAnsi="Times New Roman"/>
          <w:b/>
          <w:bCs/>
          <w:sz w:val="28"/>
          <w:szCs w:val="28"/>
          <w:lang w:val="uk-UA"/>
        </w:rPr>
      </w:pPr>
      <w:r>
        <w:rPr>
          <w:rFonts w:ascii="Times New Roman" w:hAnsi="Times New Roman"/>
          <w:b/>
          <w:bCs/>
          <w:sz w:val="28"/>
          <w:szCs w:val="28"/>
          <w:lang w:val="uk-UA"/>
        </w:rPr>
        <w:t>2.1. Стан розвитку цифрових консультаційних платформ у сфері соціальних послуг</w:t>
      </w:r>
    </w:p>
    <w:p w14:paraId="45D63A9D"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46937772"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Стрімкий розвиток цифрових технологій у XXI столітті суттєво вплинув на всі сфери суспільного життя, включаючи систему соціального захисту населення. В умовах глобалізації, активного розвитку інформаційного суспільства та постійного вдосконалення інформаційно-</w:t>
      </w:r>
      <w:r>
        <w:rPr>
          <w:rFonts w:ascii="Times New Roman" w:hAnsi="Times New Roman"/>
          <w:sz w:val="28"/>
          <w:szCs w:val="28"/>
          <w:lang w:val="uk-UA"/>
        </w:rPr>
        <w:lastRenderedPageBreak/>
        <w:t>комунікаційних технологій соціальні послуги поступово переходять у цифровий формат. Особливого значення цифровізація соціальної сфери набула в умовах пандемії COVID-19, а також після початку повномасштабної війни в Україні, коли значна частина населення потребувала дистанційного доступу до соціальної підтримки. Саме тому цифрові консультаційні платформи стали одним із ключових механізмів забезпечення оперативного, доступного та ефективного соціального обслуговування населення.</w:t>
      </w:r>
    </w:p>
    <w:p w14:paraId="225A252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Цифрові консультаційні платформи у сфері соціальних послуг являють собою інтегровані електронні системи, що забезпечують взаємодію між громадянами та суб’єктами надання соціальної допомоги. Вони дозволяють здійснювати подання заяв, отримання консультацій, оформлення документів, моніторинг статусу звернень та комунікацію з фахівцями у дистанційному форматі. Основною перевагою таких платформ є можливість забезпечення безперервного доступу до соціальних послуг незалежно від місця проживання, фізичних можливостей чи соціального статусу особи.</w:t>
      </w:r>
    </w:p>
    <w:p w14:paraId="77505A14"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Сучасний стан розвитку цифрових консультаційних платформ характеризується динамічним розширенням їх функціональних можливостей. Якщо раніше електронні сервіси переважно виконували інформаційну функцію, то сьогодні вони перетворилися на комплексні багатофункціональні системи. Через цифрові платформи громадяни можуть не лише отримувати консультації, але й подавати документи, оформлювати соціальні виплати, реєструватися для отримання допомоги, проходити ідентифікацію особи та отримувати повідомлення про результати розгляду звернень.</w:t>
      </w:r>
    </w:p>
    <w:p w14:paraId="609C9658"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міжнародному рівні розвиток цифрових консультаційних платформ демонструє високий рівень інтеграції державних сервісів. Одним із найуспішніших прикладів є Естонія, де система електронного урядування охоплює практично всі сфери взаємодії громадян із державою. Платформа e-Estonia дозволяє отримувати більшість державних та соціальних послуг онлайн, що значно скорочує бюрократичні процедури та економить час </w:t>
      </w:r>
      <w:r>
        <w:rPr>
          <w:rFonts w:ascii="Times New Roman" w:hAnsi="Times New Roman"/>
          <w:sz w:val="28"/>
          <w:szCs w:val="28"/>
          <w:lang w:val="uk-UA"/>
        </w:rPr>
        <w:lastRenderedPageBreak/>
        <w:t>громадян. Подібний досвід демонструє й Велика Британія через платформу GOV.UK, яка інтегрує сотні державних сервісів у єдиному цифровому просторі [УВКБ ООН, 2023].</w:t>
      </w:r>
    </w:p>
    <w:p w14:paraId="72408927"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 Україні процес цифровізації соціальної сфери активно розпочався після створення Міністерства цифрової трансформації та запуску платформи «Дія». Саме ця система стала основою для розвитку електронних державних послуг та цифрового консультування населення. Поступово через платформу стали доступними сервіси оформлення субсидій, допомоги при народженні дитини, виплат для внутрішньо переміщених осіб, отримання статусу безробітного та інші соціально значущі послуги [Мін. цифр. трансф., 2023; Федірко, 2022].</w:t>
      </w:r>
    </w:p>
    <w:p w14:paraId="30DA9F8B"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Після початку повномасштабного вторгнення цифрові консультаційні платформи стали особливо важливими для підтримки внутрішньо переміщених осіб, військовослужбовців, осіб з інвалідністю та громадян, які втратили житло чи роботу. Завдяки електронним сервісам люди отримали можливість дистанційно оформлювати допомогу навіть перебуваючи в інших регіонах або за межами країни. Це дозволило суттєво зменшити навантаження на державні установи та забезпечити оперативність реагування на соціальні потреби населення [МОМ, 2023; Шемет, 2022].</w:t>
      </w:r>
    </w:p>
    <w:p w14:paraId="4E27736F"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Технологічна основа сучасних цифрових консультаційних платформ включає використання хмарних технологій, штучного інтелекту, великих масивів даних та автоматизованих систем обробки інформації. Особливу роль відіграють чат-боти та системи автоматизованих відповідей, які дозволяють забезпечувати цілодобове консультування громадян. Такі технології значно підвищують ефективність роботи соціальних служб, скорочують час обробки звернень та дозволяють працівникам зосереджуватися на більш складних випадках.</w:t>
      </w:r>
    </w:p>
    <w:p w14:paraId="5A843E4B"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Системи розпізнавання природної мови та елементи штучного інтелекту сприяють автоматичному аналізу звернень громадян і перенаправленню їх до відповідних спеціалістів. Це дозволяє уникати </w:t>
      </w:r>
      <w:r>
        <w:rPr>
          <w:rFonts w:ascii="Times New Roman" w:hAnsi="Times New Roman"/>
          <w:sz w:val="28"/>
          <w:szCs w:val="28"/>
          <w:lang w:val="uk-UA"/>
        </w:rPr>
        <w:lastRenderedPageBreak/>
        <w:t>дублювання функцій, підвищує швидкість обслуговування та забезпечує більш ефективний розподіл ресурсів. Крім того, цифрові платформи здатні накопичувати аналітичні дані, які можуть використовуватися для прогнозування соціальних потреб населення та вдосконалення державної соціальної політики [Карпенко, 2022].</w:t>
      </w:r>
    </w:p>
    <w:p w14:paraId="1E569C57"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Функціональний склад цифрових консультаційних платформ є досить різноманітним. Зазвичай вони включають особистий кабінет користувача, систему авторизації через електронний підпис або BankID, модуль подання електронних звернень, систему відстеження статусу заяв, відеоконсультації, електронні черги, інтегровані бази даних та модулі зворотного зв’язку (див. рис. 2.1.). </w:t>
      </w:r>
    </w:p>
    <w:p w14:paraId="7BB867F4" w14:textId="77777777" w:rsidR="00F47BB4" w:rsidRPr="00993978" w:rsidRDefault="00604EBA" w:rsidP="00F47BB4">
      <w:pPr>
        <w:spacing w:after="0" w:line="360" w:lineRule="auto"/>
        <w:ind w:firstLine="851"/>
        <w:jc w:val="both"/>
        <w:rPr>
          <w:rFonts w:ascii="Times New Roman" w:hAnsi="Times New Roman"/>
          <w:sz w:val="28"/>
          <w:szCs w:val="28"/>
          <w:lang w:val="uk-UA"/>
        </w:rPr>
      </w:pPr>
      <w:r>
        <w:rPr>
          <w:rFonts w:ascii="Times New Roman" w:hAnsi="Times New Roman"/>
          <w:noProof/>
          <w:sz w:val="28"/>
          <w:szCs w:val="28"/>
          <w:lang w:eastAsia="ru-RU"/>
        </w:rPr>
        <mc:AlternateContent>
          <mc:Choice Requires="wpg">
            <w:drawing>
              <wp:anchor distT="0" distB="0" distL="114300" distR="114300" simplePos="0" relativeHeight="251659264" behindDoc="0" locked="0" layoutInCell="1" allowOverlap="1" wp14:anchorId="5FCB21A7" wp14:editId="0ED6E2AE">
                <wp:simplePos x="0" y="0"/>
                <wp:positionH relativeFrom="column">
                  <wp:posOffset>1395095</wp:posOffset>
                </wp:positionH>
                <wp:positionV relativeFrom="paragraph">
                  <wp:posOffset>152400</wp:posOffset>
                </wp:positionV>
                <wp:extent cx="3173095" cy="2054860"/>
                <wp:effectExtent l="0" t="0" r="27305" b="21590"/>
                <wp:wrapNone/>
                <wp:docPr id="1373715498" name="Группа 3"/>
                <wp:cNvGraphicFramePr/>
                <a:graphic xmlns:a="http://schemas.openxmlformats.org/drawingml/2006/main">
                  <a:graphicData uri="http://schemas.microsoft.com/office/word/2010/wordprocessingGroup">
                    <wpg:wgp>
                      <wpg:cNvGrpSpPr/>
                      <wpg:grpSpPr>
                        <a:xfrm>
                          <a:off x="0" y="0"/>
                          <a:ext cx="3173095" cy="2054860"/>
                          <a:chOff x="0" y="0"/>
                          <a:chExt cx="3630306" cy="2569240"/>
                        </a:xfrm>
                      </wpg:grpSpPr>
                      <wpg:grpSp>
                        <wpg:cNvPr id="906602936" name="Группа 2"/>
                        <wpg:cNvGrpSpPr/>
                        <wpg:grpSpPr>
                          <a:xfrm>
                            <a:off x="0" y="0"/>
                            <a:ext cx="3630306" cy="736980"/>
                            <a:chOff x="0" y="0"/>
                            <a:chExt cx="3630306" cy="736980"/>
                          </a:xfrm>
                        </wpg:grpSpPr>
                        <wps:wsp>
                          <wps:cNvPr id="1397892768" name="Прямоугольник 1"/>
                          <wps:cNvSpPr/>
                          <wps:spPr>
                            <a:xfrm>
                              <a:off x="0" y="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59F2D51C"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Особистий кабінет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553905" name="Прямоугольник 1"/>
                          <wps:cNvSpPr/>
                          <wps:spPr>
                            <a:xfrm>
                              <a:off x="1815153" y="36849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491C2755"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Електронні звернення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6627398" name="Группа 2"/>
                        <wpg:cNvGrpSpPr/>
                        <wpg:grpSpPr>
                          <a:xfrm>
                            <a:off x="0" y="733647"/>
                            <a:ext cx="3630306" cy="736980"/>
                            <a:chOff x="0" y="0"/>
                            <a:chExt cx="3630306" cy="736980"/>
                          </a:xfrm>
                        </wpg:grpSpPr>
                        <wps:wsp>
                          <wps:cNvPr id="887694592" name="Прямоугольник 1"/>
                          <wps:cNvSpPr/>
                          <wps:spPr>
                            <a:xfrm>
                              <a:off x="0" y="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084185A8"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Відеоконсультації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85527" name="Прямоугольник 1"/>
                          <wps:cNvSpPr/>
                          <wps:spPr>
                            <a:xfrm>
                              <a:off x="1815153" y="36849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2F37BDB5"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Електронна черга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848527" name="Группа 2"/>
                        <wpg:cNvGrpSpPr/>
                        <wpg:grpSpPr>
                          <a:xfrm>
                            <a:off x="0" y="1467293"/>
                            <a:ext cx="3630295" cy="736600"/>
                            <a:chOff x="0" y="0"/>
                            <a:chExt cx="3630306" cy="736980"/>
                          </a:xfrm>
                        </wpg:grpSpPr>
                        <wps:wsp>
                          <wps:cNvPr id="1673456573" name="Прямоугольник 1"/>
                          <wps:cNvSpPr/>
                          <wps:spPr>
                            <a:xfrm>
                              <a:off x="0" y="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21730F58"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Бази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998245" name="Прямоугольник 1"/>
                          <wps:cNvSpPr/>
                          <wps:spPr>
                            <a:xfrm>
                              <a:off x="1815153" y="368490"/>
                              <a:ext cx="1815153" cy="368490"/>
                            </a:xfrm>
                            <a:prstGeom prst="rect">
                              <a:avLst/>
                            </a:prstGeom>
                          </wps:spPr>
                          <wps:style>
                            <a:lnRef idx="2">
                              <a:schemeClr val="dk1"/>
                            </a:lnRef>
                            <a:fillRef idx="1">
                              <a:schemeClr val="lt1"/>
                            </a:fillRef>
                            <a:effectRef idx="0">
                              <a:schemeClr val="dk1"/>
                            </a:effectRef>
                            <a:fontRef idx="minor">
                              <a:schemeClr val="dk1"/>
                            </a:fontRef>
                          </wps:style>
                          <wps:txbx>
                            <w:txbxContent>
                              <w:p w14:paraId="35333BF6"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Система сповіщень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20675987" name="Прямоугольник 1"/>
                        <wps:cNvSpPr/>
                        <wps:spPr>
                          <a:xfrm>
                            <a:off x="0" y="2200940"/>
                            <a:ext cx="1815148" cy="368300"/>
                          </a:xfrm>
                          <a:prstGeom prst="rect">
                            <a:avLst/>
                          </a:prstGeom>
                        </wps:spPr>
                        <wps:style>
                          <a:lnRef idx="2">
                            <a:schemeClr val="dk1"/>
                          </a:lnRef>
                          <a:fillRef idx="1">
                            <a:schemeClr val="lt1"/>
                          </a:fillRef>
                          <a:effectRef idx="0">
                            <a:schemeClr val="dk1"/>
                          </a:effectRef>
                          <a:fontRef idx="minor">
                            <a:schemeClr val="dk1"/>
                          </a:fontRef>
                        </wps:style>
                        <wps:txbx>
                          <w:txbxContent>
                            <w:p w14:paraId="79199C4E"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Зворотний зв’язок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CB21A7" id="Группа 3" o:spid="_x0000_s1026" style="position:absolute;left:0;text-align:left;margin-left:109.85pt;margin-top:12pt;width:249.85pt;height:161.8pt;z-index:251659264;mso-width-relative:margin;mso-height-relative:margin" coordsize="36303,2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">
                <v:group id="Группа 2" o:spid="_x0000_s1027" style="position:absolute;width:36303;height:7369" coordsize="36303,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">
                  <v:rect id="Прямоугольник 1" o:spid="_x0000_s1028" style="position:absolute;width:18151;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" fillcolor="white [3201]" strokecolor="black [3200]" strokeweight="2pt">
                    <v:textbox>
                      <w:txbxContent>
                        <w:p w14:paraId="59F2D51C"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Особистий кабінет</w:t>
                          </w:r>
                        </w:p>
                      </w:txbxContent>
                    </v:textbox>
                  </v:rect>
                  <v:rect id="Прямоугольник 1" o:spid="_x0000_s1029" style="position:absolute;left:18151;top:3684;width:18152;height: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" fillcolor="white [3201]" strokecolor="black [3200]" strokeweight="2pt">
                    <v:textbox>
                      <w:txbxContent>
                        <w:p w14:paraId="491C2755"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Електронні звернення</w:t>
                          </w:r>
                        </w:p>
                      </w:txbxContent>
                    </v:textbox>
                  </v:rect>
                </v:group>
                <v:group id="Группа 2" o:spid="_x0000_s1030" style="position:absolute;top:7336;width:36303;height:7370" coordsize="36303,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">
                  <v:rect id="Прямоугольник 1" o:spid="_x0000_s1031" style="position:absolute;width:18151;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" fillcolor="white [3201]" strokecolor="black [3200]" strokeweight="2pt">
                    <v:textbox>
                      <w:txbxContent>
                        <w:p w14:paraId="084185A8"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Відеоконсультації</w:t>
                          </w:r>
                        </w:p>
                      </w:txbxContent>
                    </v:textbox>
                  </v:rect>
                  <v:rect id="Прямоугольник 1" o:spid="_x0000_s1032" style="position:absolute;left:18151;top:3684;width:18152;height: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" fillcolor="white [3201]" strokecolor="black [3200]" strokeweight="2pt">
                    <v:textbox>
                      <w:txbxContent>
                        <w:p w14:paraId="2F37BDB5"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Електронна черга</w:t>
                          </w:r>
                        </w:p>
                      </w:txbxContent>
                    </v:textbox>
                  </v:rect>
                </v:group>
                <v:group id="Группа 2" o:spid="_x0000_s1033" style="position:absolute;top:14672;width:36302;height:7366" coordsize="36303,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">
                  <v:rect id="Прямоугольник 1" o:spid="_x0000_s1034" style="position:absolute;width:18151;height: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" fillcolor="white [3201]" strokecolor="black [3200]" strokeweight="2pt">
                    <v:textbox>
                      <w:txbxContent>
                        <w:p w14:paraId="21730F58"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Бази даних</w:t>
                          </w:r>
                        </w:p>
                      </w:txbxContent>
                    </v:textbox>
                  </v:rect>
                  <v:rect id="Прямоугольник 1" o:spid="_x0000_s1035" style="position:absolute;left:18151;top:3684;width:18152;height: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" fillcolor="white [3201]" strokecolor="black [3200]" strokeweight="2pt">
                    <v:textbox>
                      <w:txbxContent>
                        <w:p w14:paraId="35333BF6"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Система сповіщень</w:t>
                          </w:r>
                        </w:p>
                      </w:txbxContent>
                    </v:textbox>
                  </v:rect>
                </v:group>
                <v:rect id="Прямоугольник 1" o:spid="_x0000_s1036" style="position:absolute;top:22009;width:1815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" fillcolor="white [3201]" strokecolor="black [3200]" strokeweight="2pt">
                  <v:textbox>
                    <w:txbxContent>
                      <w:p w14:paraId="79199C4E" w14:textId="77777777" w:rsidR="00990A72" w:rsidRPr="00445A62" w:rsidRDefault="00990A72" w:rsidP="00604EBA">
                        <w:pPr>
                          <w:spacing w:after="0"/>
                          <w:jc w:val="center"/>
                          <w:rPr>
                            <w:rFonts w:ascii="Times New Roman" w:hAnsi="Times New Roman"/>
                            <w:sz w:val="24"/>
                            <w:szCs w:val="24"/>
                          </w:rPr>
                        </w:pPr>
                        <w:r>
                          <w:rPr>
                            <w:rFonts w:ascii="Times New Roman" w:hAnsi="Times New Roman"/>
                            <w:sz w:val="24"/>
                            <w:szCs w:val="24"/>
                          </w:rPr>
                          <w:t>Зворотний зв’язок</w:t>
                        </w:r>
                      </w:p>
                    </w:txbxContent>
                  </v:textbox>
                </v:rect>
              </v:group>
            </w:pict>
          </mc:Fallback>
        </mc:AlternateContent>
      </w:r>
    </w:p>
    <w:p w14:paraId="6C78FE3D"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78BE5B13"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39B8DDEA"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04263726"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491E57D0"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2C1BAA72"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3C668FC3"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45A5F618" w14:textId="77777777" w:rsidR="00F47BB4" w:rsidRPr="00604EBA" w:rsidRDefault="00F47BB4" w:rsidP="00F47BB4">
      <w:pPr>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Рис. 2.1. Структура цифрової консультаційної платформи у сфері соціальних послуг</w:t>
      </w:r>
    </w:p>
    <w:p w14:paraId="0ADED0C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Наявність таких компонентів дозволяє забезпечити комплексне обслуговування громадян без необхідності особистого відвідування державних установ.</w:t>
      </w:r>
    </w:p>
    <w:p w14:paraId="20FC6F3C"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Особливого значення цифрові консультаційні платформи набувають для маломобільних груп населення. Люди з інвалідністю, особи похилого віку, громадяни з тяжкими захворюваннями або мешканці віддалених територій отримують можливість користуватися соціальними послугами без значних фізичних та фінансових витрат. Для таких категорій користувачів створюються адаптивні інтерфейси з голосовим супроводом, збільшеним </w:t>
      </w:r>
      <w:r>
        <w:rPr>
          <w:rFonts w:ascii="Times New Roman" w:hAnsi="Times New Roman"/>
          <w:sz w:val="28"/>
          <w:szCs w:val="28"/>
          <w:lang w:val="uk-UA"/>
        </w:rPr>
        <w:lastRenderedPageBreak/>
        <w:t>шрифтом, спрощеною навігацією та підтримкою сурдоперекладу [Park, 2021].</w:t>
      </w:r>
    </w:p>
    <w:p w14:paraId="0F441DD4"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Водночас розвиток цифрових консультаційних платформ супроводжується низкою проблем і викликів. Однією з найгостріших проблем є цифрова нерівність населення. Значна частина громадян, особливо люди похилого віку, мешканці сільської місцевості або соціально вразливі категорії населення, не мають достатнього рівня цифрової грамотності для ефективного користування електронними сервісами. Це створює ризики соціального виключення та обмеження доступу до соціальної підтримки [NISCC, 2023].</w:t>
      </w:r>
    </w:p>
    <w:p w14:paraId="4338F700"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Проблемою залишається також недостатній рівень розвитку телекомунікаційної інфраструктури у віддалених населених пунктах та регіонах, що постраждали від бойових дій. Нестабільний доступ до інтернету або відсутність сучасних цифрових пристроїв значно ускладнює використання електронних платформ. Саме тому поряд із цифровізацією соціальної сфери держава повинна забезпечувати розвиток інформаційної інфраструктури та доступність цифрових технологій для всіх верств населення.</w:t>
      </w:r>
    </w:p>
    <w:p w14:paraId="7B68A28C"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Не менш важливим питанням є захист персональних даних та кібербезпека цифрових платформ. Соціальні служби працюють із великим обсягом конфіденційної інформації про громадян, включаючи персональні дані, інформацію про стан здоров’я, матеріальне становище та соціальний статус. У разі витоку такої інформації можуть виникати серйозні ризики для безпеки та прав людини. Саме тому цифрові консультаційні системи повинні відповідати сучасним вимогам інформаційної безпеки та міжнародним стандартам захисту даних [Поліщук, 2020].</w:t>
      </w:r>
    </w:p>
    <w:p w14:paraId="7830D61C"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Важливою умовою ефективного функціонування цифрових консультаційних платформ є міжвідомча інтеграція інформаційних систем. На практиці часто виникає проблема фрагментарності державних електронних сервісів, коли різні установи використовують несумісні між </w:t>
      </w:r>
      <w:r>
        <w:rPr>
          <w:rFonts w:ascii="Times New Roman" w:hAnsi="Times New Roman"/>
          <w:sz w:val="28"/>
          <w:szCs w:val="28"/>
          <w:lang w:val="uk-UA"/>
        </w:rPr>
        <w:lastRenderedPageBreak/>
        <w:t>собою бази даних. Це ускладнює процес обміну інформацією та створює додаткові труднощі для громадян. Тому одним із пріоритетних напрямів розвитку цифрової соціальної сфери є створення єдиного інформаційного простору соціального захисту.</w:t>
      </w:r>
    </w:p>
    <w:p w14:paraId="0492D6C1"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Значний вплив на розвиток цифрових консультаційних платформ має міжнародна співпраця. Україна активно взаємодіє з країнами Європейського Союзу у сфері цифрової трансформації та електронного урядування. Міжнародні організації надають технічну, фінансову та консультативну підтримку для модернізації систем соціального захисту та впровадження сучасних цифрових рішень. Така співпраця сприяє адаптації українських платформ до європейських стандартів та підвищує якість надання соціальних послуг [Безугла, 2022].</w:t>
      </w:r>
    </w:p>
    <w:p w14:paraId="104550DB"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Важливу роль у розвитку цифрових консультаційних платформ відіграє підвищення цифрової грамотності населення. Для ефективного використання електронних сервісів громадяни повинні володіти базовими навичками роботи з цифровими технологіями. У зв’язку з цим в Україні активно впроваджуються освітні проєкти та програми цифрової освіти, спрямовані на навчання населення користуванню електронними сервісами, мобільними додатками та засобами електронної ідентифікації [Кодекс етики, 2021].</w:t>
      </w:r>
    </w:p>
    <w:p w14:paraId="4E3B9183"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Перспективним напрямом розвитку цифрових консультаційних платформ є впровадження технологій штучного інтелекту та автоматизованого аналізу соціальних потреб населення. У майбутньому такі системи зможуть прогнозувати ризики соціальної вразливості, автоматично визначати потребу громадян у певних видах допомоги та формувати індивідуальні рекомендації щодо соціальної підтримки. Це сприятиме підвищенню адресності соціальної допомоги та ефективності використання державних ресурсів [Eubanks, 2018].</w:t>
      </w:r>
    </w:p>
    <w:p w14:paraId="5E4A320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Таким чином, сучасний стан розвитку цифрових консультаційних платформ у сфері соціальних послуг характеризується активним </w:t>
      </w:r>
      <w:r>
        <w:rPr>
          <w:rFonts w:ascii="Times New Roman" w:hAnsi="Times New Roman"/>
          <w:sz w:val="28"/>
          <w:szCs w:val="28"/>
          <w:lang w:val="uk-UA"/>
        </w:rPr>
        <w:lastRenderedPageBreak/>
        <w:t>впровадженням інноваційних технологій, розширенням функціональних можливостей та зростанням ролі електронного консультування у системі соціального захисту населення. Разом із тим подальший розвиток таких платформ потребує комплексного вирішення проблем цифрової нерівності, захисту персональних даних, розвитку телекомунікаційної інфраструктури та підвищення рівня цифрової грамотності населення. Лише за умов поєднання технологічного розвитку з ефективною державною політикою цифрові консультаційні платформи зможуть забезпечити високий рівень доступності та якості соціальних послуг для всіх громадян.</w:t>
      </w:r>
    </w:p>
    <w:p w14:paraId="5F6DC514"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112E7340" w14:textId="77777777" w:rsidR="00F47BB4" w:rsidRPr="00993978" w:rsidRDefault="00F47BB4" w:rsidP="00F47BB4">
      <w:pPr>
        <w:spacing w:after="0" w:line="360" w:lineRule="auto"/>
        <w:ind w:firstLine="851"/>
        <w:jc w:val="both"/>
        <w:rPr>
          <w:rFonts w:ascii="Times New Roman" w:hAnsi="Times New Roman"/>
          <w:b/>
          <w:bCs/>
          <w:sz w:val="28"/>
          <w:szCs w:val="28"/>
          <w:lang w:val="uk-UA"/>
        </w:rPr>
      </w:pPr>
      <w:r>
        <w:rPr>
          <w:rFonts w:ascii="Times New Roman" w:hAnsi="Times New Roman"/>
          <w:b/>
          <w:bCs/>
          <w:sz w:val="28"/>
          <w:szCs w:val="28"/>
          <w:lang w:val="uk-UA"/>
        </w:rPr>
        <w:t>2.2. Аналіз доступності, оперативності та ефективності цифрових консультацій для різних категорій населення</w:t>
      </w:r>
    </w:p>
    <w:p w14:paraId="3E080FB4"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564F41BC"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Оцінка якості надання соціальних послуг у дистанційному форматі є одним із ключових напрямів дослідження сучасної системи цифрового соціального забезпечення. Активний розвиток інформаційно-комунікаційних технологій, цифровізація державного управління та зростання потреб населення у швидкому доступі до соціальної допомоги сприяли формуванню нових моделей соціального обслуговування. Особливої актуальності дистанційний формат надання соціальних послуг набув у період пандемії COVID-19 та в умовах воєнного стану в Україні, коли традиційні форми взаємодії між громадянами та соціальними службами виявилися частково обмеженими. У таких умовах саме цифрові консультації стали важливим інструментом забезпечення безперервності соціальної підтримки населення.</w:t>
      </w:r>
    </w:p>
    <w:p w14:paraId="39999EDE"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Якість надання соціальних послуг у дистанційному форматі доцільно оцінювати через систему взаємопов’язаних критеріїв, серед яких основними є доступність, оперативність та ефективність цифрових консультацій. Кожен із цих критеріїв має комплексний характер і залежить як від технічних можливостей платформи, так і від соціально-демографічних особливостей отримувачів послуг. Водночас оцінка якості дистанційного соціального обслуговування повинна враховувати не лише кількісні показники, а й рівень задоволеності громадян, комфорт користування сервісами та здатність системи забезпечити індивідуальний підхід до потреб людини (див. табл. 2.1.) [Park, 2021].</w:t>
      </w:r>
    </w:p>
    <w:p w14:paraId="55706EC2" w14:textId="77777777" w:rsidR="00F47BB4" w:rsidRPr="002D454E" w:rsidRDefault="00F47BB4" w:rsidP="00F47BB4">
      <w:pPr>
        <w:spacing w:after="0" w:line="360" w:lineRule="auto"/>
        <w:ind w:firstLine="851"/>
        <w:jc w:val="right"/>
        <w:rPr>
          <w:rFonts w:ascii="Times New Roman" w:hAnsi="Times New Roman"/>
          <w:b/>
          <w:sz w:val="28"/>
          <w:szCs w:val="28"/>
          <w:lang w:val="uk-UA"/>
        </w:rPr>
      </w:pPr>
      <w:r>
        <w:rPr>
          <w:rFonts w:ascii="Times New Roman" w:hAnsi="Times New Roman"/>
          <w:b/>
          <w:sz w:val="28"/>
          <w:szCs w:val="28"/>
          <w:lang w:val="uk-UA"/>
        </w:rPr>
        <w:t>Таблиця 2.1.</w:t>
      </w:r>
    </w:p>
    <w:p w14:paraId="5555E696" w14:textId="77777777" w:rsidR="00F47BB4" w:rsidRPr="002D454E" w:rsidRDefault="00F47BB4" w:rsidP="00F47BB4">
      <w:pPr>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Основні критерії оцінки якості дистанційних соціальних послуг</w:t>
      </w:r>
    </w:p>
    <w:tbl>
      <w:tblPr>
        <w:tblStyle w:val="aa"/>
        <w:tblW w:w="0" w:type="auto"/>
        <w:tblLook w:val="04A0" w:firstRow="1" w:lastRow="0" w:firstColumn="1" w:lastColumn="0" w:noHBand="0" w:noVBand="1"/>
      </w:tblPr>
      <w:tblGrid>
        <w:gridCol w:w="3114"/>
        <w:gridCol w:w="6231"/>
      </w:tblGrid>
      <w:tr w:rsidR="00F47BB4" w:rsidRPr="00993978" w14:paraId="2A6ACABE" w14:textId="77777777" w:rsidTr="00990A72">
        <w:tc>
          <w:tcPr>
            <w:tcW w:w="3114" w:type="dxa"/>
          </w:tcPr>
          <w:p w14:paraId="5B7BE7BA" w14:textId="77777777" w:rsidR="00F47BB4" w:rsidRPr="00993978" w:rsidRDefault="00F47BB4" w:rsidP="00F47BB4">
            <w:pPr>
              <w:spacing w:line="276" w:lineRule="auto"/>
              <w:jc w:val="center"/>
              <w:rPr>
                <w:rFonts w:ascii="Times New Roman" w:hAnsi="Times New Roman"/>
                <w:b/>
                <w:bCs/>
                <w:sz w:val="24"/>
                <w:szCs w:val="24"/>
                <w:lang w:val="uk-UA"/>
              </w:rPr>
            </w:pPr>
            <w:r>
              <w:rPr>
                <w:rFonts w:ascii="Times New Roman" w:hAnsi="Times New Roman"/>
                <w:sz w:val="24"/>
                <w:szCs w:val="24"/>
                <w:lang w:val="uk-UA"/>
              </w:rPr>
              <w:t>Критерій</w:t>
            </w:r>
          </w:p>
        </w:tc>
        <w:tc>
          <w:tcPr>
            <w:tcW w:w="6231" w:type="dxa"/>
          </w:tcPr>
          <w:p w14:paraId="3B759F3D" w14:textId="77777777" w:rsidR="00F47BB4" w:rsidRPr="00993978" w:rsidRDefault="00F47BB4" w:rsidP="00F47BB4">
            <w:pPr>
              <w:spacing w:line="276" w:lineRule="auto"/>
              <w:jc w:val="center"/>
              <w:rPr>
                <w:rFonts w:ascii="Times New Roman" w:hAnsi="Times New Roman"/>
                <w:b/>
                <w:bCs/>
                <w:sz w:val="24"/>
                <w:szCs w:val="24"/>
                <w:lang w:val="uk-UA"/>
              </w:rPr>
            </w:pPr>
            <w:r>
              <w:rPr>
                <w:rFonts w:ascii="Times New Roman" w:hAnsi="Times New Roman"/>
                <w:sz w:val="24"/>
                <w:szCs w:val="24"/>
                <w:lang w:val="uk-UA"/>
              </w:rPr>
              <w:t>Характеристика</w:t>
            </w:r>
          </w:p>
        </w:tc>
      </w:tr>
      <w:tr w:rsidR="00F47BB4" w:rsidRPr="00993978" w14:paraId="50CBBAF6" w14:textId="77777777" w:rsidTr="00990A72">
        <w:tc>
          <w:tcPr>
            <w:tcW w:w="3114" w:type="dxa"/>
          </w:tcPr>
          <w:p w14:paraId="5DF09DDC"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Доступність</w:t>
            </w:r>
          </w:p>
        </w:tc>
        <w:tc>
          <w:tcPr>
            <w:tcW w:w="6231" w:type="dxa"/>
          </w:tcPr>
          <w:p w14:paraId="72E4DBA8"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Можливість отримання послуг незалежно від місця проживання та фізичних можливостей</w:t>
            </w:r>
          </w:p>
        </w:tc>
      </w:tr>
      <w:tr w:rsidR="00F47BB4" w:rsidRPr="00993978" w14:paraId="2F26491C" w14:textId="77777777" w:rsidTr="00990A72">
        <w:tc>
          <w:tcPr>
            <w:tcW w:w="3114" w:type="dxa"/>
          </w:tcPr>
          <w:p w14:paraId="32D03DD1"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Оперативність</w:t>
            </w:r>
          </w:p>
        </w:tc>
        <w:tc>
          <w:tcPr>
            <w:tcW w:w="6231" w:type="dxa"/>
          </w:tcPr>
          <w:p w14:paraId="79E05B94"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Швидкість обробки звернень та надання відповіді</w:t>
            </w:r>
          </w:p>
        </w:tc>
      </w:tr>
      <w:tr w:rsidR="00F47BB4" w:rsidRPr="00993978" w14:paraId="06875730" w14:textId="77777777" w:rsidTr="00990A72">
        <w:tc>
          <w:tcPr>
            <w:tcW w:w="3114" w:type="dxa"/>
          </w:tcPr>
          <w:p w14:paraId="6ACF72E3"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Ефективність</w:t>
            </w:r>
          </w:p>
        </w:tc>
        <w:tc>
          <w:tcPr>
            <w:tcW w:w="6231" w:type="dxa"/>
          </w:tcPr>
          <w:p w14:paraId="337765C0"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Результативність вирішення звернень та рівень задоволеності користувачів</w:t>
            </w:r>
          </w:p>
        </w:tc>
      </w:tr>
      <w:tr w:rsidR="00F47BB4" w:rsidRPr="00993978" w14:paraId="50785864" w14:textId="77777777" w:rsidTr="00990A72">
        <w:tc>
          <w:tcPr>
            <w:tcW w:w="3114" w:type="dxa"/>
          </w:tcPr>
          <w:p w14:paraId="11287726"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Безпека</w:t>
            </w:r>
          </w:p>
        </w:tc>
        <w:tc>
          <w:tcPr>
            <w:tcW w:w="6231" w:type="dxa"/>
          </w:tcPr>
          <w:p w14:paraId="586FB4CF"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Захист персональних даних та кібербезпека</w:t>
            </w:r>
          </w:p>
        </w:tc>
      </w:tr>
      <w:tr w:rsidR="00F47BB4" w:rsidRPr="00993978" w14:paraId="4219A496" w14:textId="77777777" w:rsidTr="00990A72">
        <w:tc>
          <w:tcPr>
            <w:tcW w:w="3114" w:type="dxa"/>
          </w:tcPr>
          <w:p w14:paraId="33E3E373"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Інклюзивність</w:t>
            </w:r>
          </w:p>
        </w:tc>
        <w:tc>
          <w:tcPr>
            <w:tcW w:w="6231" w:type="dxa"/>
          </w:tcPr>
          <w:p w14:paraId="48997490" w14:textId="77777777" w:rsidR="00F47BB4" w:rsidRPr="00993978" w:rsidRDefault="00F47BB4" w:rsidP="00F47BB4">
            <w:pPr>
              <w:spacing w:line="276" w:lineRule="auto"/>
              <w:jc w:val="center"/>
              <w:rPr>
                <w:rFonts w:ascii="Times New Roman" w:hAnsi="Times New Roman"/>
                <w:sz w:val="24"/>
                <w:szCs w:val="24"/>
                <w:lang w:val="uk-UA"/>
              </w:rPr>
            </w:pPr>
            <w:r>
              <w:rPr>
                <w:rFonts w:ascii="Times New Roman" w:hAnsi="Times New Roman"/>
                <w:sz w:val="24"/>
                <w:szCs w:val="24"/>
                <w:lang w:val="uk-UA"/>
              </w:rPr>
              <w:t>Адаптація платформ до потреб різних категорій населення</w:t>
            </w:r>
          </w:p>
        </w:tc>
      </w:tr>
    </w:tbl>
    <w:p w14:paraId="6CCBD406" w14:textId="77777777" w:rsidR="00F47BB4" w:rsidRPr="00993978" w:rsidRDefault="00F47BB4" w:rsidP="00F47BB4">
      <w:pPr>
        <w:spacing w:after="0" w:line="360" w:lineRule="auto"/>
        <w:ind w:firstLine="851"/>
        <w:jc w:val="center"/>
        <w:rPr>
          <w:rFonts w:ascii="Times New Roman" w:hAnsi="Times New Roman"/>
          <w:sz w:val="28"/>
          <w:szCs w:val="28"/>
          <w:lang w:val="uk-UA"/>
        </w:rPr>
      </w:pPr>
    </w:p>
    <w:p w14:paraId="6291D99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Доступність цифрових консультацій є базовою умовою ефективного функціонування дистанційних соціальних послуг. У широкому розумінні доступність охоплює технічний, когнітивний, фізичний та мовний аспекти. Технічний аспект передбачає наявність у громадян доступу до мережі Інтернет, сучасних цифрових пристроїв та стабільного мобільного зв’язку. Когнітивний аспект пов’язаний із рівнем цифрової грамотності населення та здатністю користувачів орієнтуватися у функціоналі електронних платформ. Фізичний аспект стосується адаптованості сервісів до потреб осіб з інвалідністю, а мовний – забезпечення мультимовності цифрових платформ та зрозумілості інформації.</w:t>
      </w:r>
    </w:p>
    <w:p w14:paraId="1055A052"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Проблема доступності цифрових консультацій особливо гостро проявляється серед осіб похилого віку. Значна частина людей старшої вікової групи не має достатнього рівня цифрових навичок або не користується сучасними мобільними технологіями. Для багатьох з них складними є навіть базові операції: реєстрація в системі, підтвердження особи через електронні сервіси або використання електронного підпису. Крім того, вікові особливості, пов’язані зі зниженням зору, слуху чи моторики, ускладнюють взаємодію зі стандартними цифровими інтерфейсами. Саме тому для цієї категорії населення важливого значення набувають спрощені інтерфейси, голосовий супровід та можливість отримання допомоги від соціальних працівників чи родичів [Age UK, 2022].</w:t>
      </w:r>
    </w:p>
    <w:p w14:paraId="3FF4262E"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Не менш важливим є забезпечення доступності цифрових консультацій для осіб з інвалідністю. Незважаючи на активний розвиток інклюзивних технологій, значна частина цифрових платформ досі не відповідає міжнародним стандартам веб-доступності. Особи з порушеннями зору часто стикаються з проблемами використання скрінрідерів, відсутністю текстових описів елементів інтерфейсу та складною навігацією. Для осіб із порушеннями слуху серйозною проблемою залишається недостатня кількість сервісів із підтримкою сурдоперекладу або текстового супроводу відеоконсультацій. Водночас дистанційний формат є надзвичайно важливим для людей з порушеннями опорно-рухового апарату, оскільки дозволяє отримувати послуги без фізичного відвідування установ.</w:t>
      </w:r>
    </w:p>
    <w:p w14:paraId="14699BFD"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Особливу категорію отримувачів соціальних послуг становлять внутрішньо переміщені особи. В умовах масової міграції населення цифрові консультаційні платформи стали важливим інструментом забезпечення доступу до соціальних виплат, гуманітарної допомоги та інформаційної підтримки. Для багатьох ВПО дистанційний формат став єдиною можливістю оперативно оформити допомогу після втрати житла чи документів. Проте ефективність використання цифрових сервісів у цій категорії часто знижується через психологічний стрес, нестабільність місця проживання та труднощі з підтвердженням особи. Незважаючи на це, більшість внутрішньо переміщених осіб позитивно оцінює мобільність та швидкість цифрових консультацій [МОМ, 2023].</w:t>
      </w:r>
    </w:p>
    <w:p w14:paraId="3291F441"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Сім’ї з дітьми та батьки-одинаки також активно користуються дистанційними соціальними послугами. Для цієї категорії населення важливою перевагою цифрового формату є можливість економії часу та отримання консультацій без необхідності особистого відвідування соціальних установ. Через постійну зайнятість та значне навантаження батьки часто віддають перевагу асинхронним формам комунікації, таким як чат-боти, електронна пошта чи електронні звернення. Саме тому якість цифрових платформ для цієї категорії значною мірою визначається простотою навігації, швидкістю отримання відповіді та зрозумілістю адміністративних процедур [Поліщук, 2020].</w:t>
      </w:r>
    </w:p>
    <w:p w14:paraId="2454360F"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Одним із ключових показників якості дистанційного соціального обслуговування є оперативність цифрових консультацій. У сучасних умовах громадяни очікують швидкого реагування на свої звернення та мінімізації бюрократичних процедур. Оперативність визначається часом обробки звернення, швидкістю надання відповіді, ефективністю маршрутизації запиту та рівнем автоматизації процесів. Використання чат-ботів, автоматизованих систем обробки звернень та електронних кабінетів дозволяє суттєво скоротити час очікування у порівнянні з традиційним форматом соціального обслуговування.</w:t>
      </w:r>
    </w:p>
    <w:p w14:paraId="4DAAAC20"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Порівняльний аналіз дистанційного та очного форматів надання соціальних послуг свідчить про суттєві переваги цифрового обслуговування у стандартних ситуаціях. У традиційному форматі громадяни часто змушені витрачати значний час на дорогу, очікування в чергах та збір паперових документів. Натомість цифрові платформи дозволяють подати звернення дистанційно та отримати відповідь у значно коротші строки. Особливо це стосується типових адміністративних процедур, таких як отримання довідок, оформлення соціальних виплат або консультацій щодо статусу заяв.</w:t>
      </w:r>
    </w:p>
    <w:p w14:paraId="279A16D3"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Водночас рівень оперативності цифрових консультацій залежить від складності звернення. Якщо стандартні запити можуть оброблятися автоматично протягом кількох хвилин, то складні випадки, які потребують міжвідомчої взаємодії або індивідуального аналізу ситуації, можуть вимагати значно більше часу. У таких ситуаціях ефективність системи залежить від рівня координації між державними установами, професійної підготовки спеціалістів та технічних можливостей інформаційних систем.</w:t>
      </w:r>
    </w:p>
    <w:p w14:paraId="5D6A7644"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Ефективність цифрових консультацій доцільно оцінювати через повноту та точність наданої інформації, рівень задоволеності клієнтів, результативність вирішення звернень та здатність системи забезпечити індивідуальний підхід до потреб громадян. Важливим показником є також частка звернень, вирішених без повторного контакту. Високий рівень ефективності свідчить про якісну організацію роботи цифрової платформи, зрозумілість інформації та професійність консультантів.</w:t>
      </w:r>
    </w:p>
    <w:p w14:paraId="5847F1D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Значний вплив на ефективність дистанційного соціального обслуговування має рівень цифрової грамотності населення. Навіть найсучасніші цифрові платформи не можуть бути ефективними за відсутності навичок користування електронними сервісами. Саме тому важливим напрямом державної політики є розвиток цифрової освіти населення, проведення навчальних програм та створення доступних інструкцій для користувачів. Підвищення цифрової компетентності громадян сприяє більш активному використанню електронних сервісів та зменшує ризики соціального виключення [Кодекс етики, 2021; Олійник, 2023].</w:t>
      </w:r>
    </w:p>
    <w:p w14:paraId="5B155E21"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Не менш важливим чинником якості цифрових консультацій є рівень довіри громадян до електронних сервісів. Багато користувачів побоюються витоку персональних даних, шахрайства або технічних помилок під час використання цифрових платформ. Саме тому забезпечення кібербезпеки та захисту інформації є необхідною умовою успішного функціонування систем дистанційного соціального обслуговування. Використання сучасних методів шифрування, багатофакторної автентифікації та систем моніторингу кіберзагроз дозволяє підвищити рівень безпеки цифрових платформ [Поліщук, 2020].</w:t>
      </w:r>
    </w:p>
    <w:p w14:paraId="5DC90B74"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Важливим аспектом оцінки якості дистанційних соціальних послуг є також психологічний комфорт користувачів. Для багатьох громадян отримання допомоги у дистанційному форматі є менш стресовим, ніж особисте звернення до установи. Особливо це стосується осіб, які пережили травматичний досвід, внутрішньо переміщених осіб або громадян із соціально вразливих категорій. Можливість отримати консультацію у зручний час та в комфортних умовах позитивно впливає на рівень задоволеності послугами.</w:t>
      </w:r>
    </w:p>
    <w:p w14:paraId="04C93776"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Перспективи розвитку дистанційного формату соціального обслуговування пов’язані з подальшим впровадженням інноваційних технологій, автоматизацією процесів та розвитком інклюзивного дизайну цифрових платформ. У майбутньому очікується активніше використання технологій штучного інтелекту, систем прогнозування соціальних ризиків та персоналізованих цифрових сервісів. Це дозволить підвищити адресність соціальної допомоги, скоротити час обробки звернень та покращити якість комунікації між громадянами та соціальними службами.</w:t>
      </w:r>
    </w:p>
    <w:p w14:paraId="366166EF"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 оцінка якості надання соціальних послуг у дистанційному форматі свідчить про значний потенціал цифрових консультаційних платформ у підвищенні доступності та ефективності соціального обслуговування. Разом із тим подальший розвиток таких систем потребує подолання цифрової нерівності, забезпечення інклюзивності платформ, розвитку цифрової грамотності населення та вдосконалення систем захисту персональних даних. Комплексний підхід до розвитку дистанційних соціальних послуг дозволить створити сучасну, доступну та орієнтовану на потреби громадян систему соціального захисту.</w:t>
      </w:r>
    </w:p>
    <w:p w14:paraId="6A0DC0F8" w14:textId="77777777" w:rsidR="008C3D3C" w:rsidRDefault="008C3D3C" w:rsidP="00F47BB4">
      <w:pPr>
        <w:spacing w:after="0" w:line="360" w:lineRule="auto"/>
        <w:ind w:firstLine="851"/>
        <w:jc w:val="both"/>
        <w:rPr>
          <w:rFonts w:ascii="Times New Roman" w:hAnsi="Times New Roman"/>
          <w:sz w:val="28"/>
          <w:szCs w:val="28"/>
          <w:lang w:val="uk-UA"/>
        </w:rPr>
      </w:pPr>
    </w:p>
    <w:p w14:paraId="2CB0E846" w14:textId="77777777" w:rsidR="00F47BB4" w:rsidRDefault="00F47BB4" w:rsidP="00F47BB4">
      <w:pPr>
        <w:spacing w:after="0" w:line="360" w:lineRule="auto"/>
        <w:ind w:firstLine="851"/>
        <w:jc w:val="both"/>
        <w:rPr>
          <w:rFonts w:ascii="Times New Roman" w:hAnsi="Times New Roman"/>
          <w:b/>
          <w:bCs/>
          <w:sz w:val="28"/>
          <w:szCs w:val="28"/>
          <w:lang w:val="uk-UA"/>
        </w:rPr>
      </w:pPr>
      <w:r>
        <w:rPr>
          <w:rFonts w:ascii="Times New Roman" w:hAnsi="Times New Roman"/>
          <w:b/>
          <w:bCs/>
          <w:sz w:val="28"/>
          <w:szCs w:val="28"/>
          <w:lang w:val="uk-UA"/>
        </w:rPr>
        <w:t>2.3. Вплив цифрових технологій на професійну діяльність соціального працівника та волонтера</w:t>
      </w:r>
    </w:p>
    <w:p w14:paraId="19CB9AC7" w14:textId="77777777" w:rsidR="008C3D3C" w:rsidRPr="00993978" w:rsidRDefault="008C3D3C" w:rsidP="00F47BB4">
      <w:pPr>
        <w:spacing w:after="0" w:line="360" w:lineRule="auto"/>
        <w:ind w:firstLine="851"/>
        <w:jc w:val="both"/>
        <w:rPr>
          <w:rFonts w:ascii="Times New Roman" w:hAnsi="Times New Roman"/>
          <w:b/>
          <w:bCs/>
          <w:sz w:val="28"/>
          <w:szCs w:val="28"/>
          <w:lang w:val="uk-UA"/>
        </w:rPr>
      </w:pPr>
    </w:p>
    <w:p w14:paraId="32FD7380"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Масштабна цифровізація сучасного суспільства суттєво трансформує систему соціального захисту населення та змінює характер професійної діяльності соціального працівника і волонтера. Упродовж останніх десятиліть інформаційно-комунікаційні технології стали невід’ємною складовою процесу організації соціальної допомоги, надання консультацій, ведення документації та комунікації з клієнтами. Особливо помітними ці зміни стали в умовах пандемії COVID-19 та повномасштабної війни в Україні, коли значна частина соціальних послуг була переведена у дистанційний формат. У таких умовах цифрові технології перестали бути лише допоміжним інструментом та перетворилися на один із ключових механізмів функціонування соціальної сфери [Лахман, 2023].</w:t>
      </w:r>
    </w:p>
    <w:p w14:paraId="4044B99C"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Вплив цифрових технологій на професійну діяльність соціального працівника має комплексний характер і охоплює всі основні напрями соціальної роботи. Цифровізація не лише змінює технічні аспекти діяльності фахівця, але й впливає на методологію соціальної роботи, форми взаємодії з клієнтами, професійні компетентності та етичні стандарти. Сучасний соціальний працівник змушений поєднувати традиційні гуманістичні принципи професії з новими цифровими інструментами та технологіями, що вимагає постійного професійного розвитку та адаптації до змін.</w:t>
      </w:r>
    </w:p>
    <w:p w14:paraId="18ACF60E" w14:textId="77777777" w:rsidR="00990A72"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Одним із найважливіших напрямів впливу цифрових технологій є трансформація діагностичної функції соціальної роботи. Сучасні цифрові системи дозволяють значно підвищити швидкість та точність первинної оцінки потреб клієнта. </w:t>
      </w:r>
    </w:p>
    <w:p w14:paraId="279173C9" w14:textId="58E65DE5"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Використання електронних анкет, онлайн-опитувальників та автоматизованих систем збору даних дає можливість соціальному працівнику отримати базову інформацію про клієнта ще до безпосереднього контакту. Це дозволяє краще підготуватися до роботи з конкретним випадком, визначити рівень складності ситуації та оперативно спрямувати людину до відповідного спеціаліста.</w:t>
      </w:r>
    </w:p>
    <w:p w14:paraId="12139EE5" w14:textId="77777777" w:rsidR="002033C1"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Важливу роль у діагностичному процесі відіграють електронні бази даних та аналітичні системи. Завдяки цифровим технологіям соціальні служби можуть накопичувати значний обсяг інформації про соціально вразливі категорії населення, аналізувати тенденції та прогнозувати можливі соціальні ризики. </w:t>
      </w:r>
    </w:p>
    <w:p w14:paraId="3B7E23F2" w14:textId="77777777" w:rsidR="00990A72"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Геоінформаційні системи дозволяють здійснювати картування соціальних потреб населення та визначати території з підвищеним рівнем соціальної вразливості [Шевченко, 2021]. </w:t>
      </w:r>
    </w:p>
    <w:p w14:paraId="15C36580" w14:textId="7E05B1AD"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Такий підхід сприяє більш ефективному плануванню соціальної політики та розподілу ресурсів.</w:t>
      </w:r>
    </w:p>
    <w:p w14:paraId="04199CB8" w14:textId="66F91E20" w:rsidR="00F47BB4" w:rsidRDefault="00F47BB4" w:rsidP="00990A7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Окремого значення набуває використання технологій штучного інтелекту та предиктивної аналітики у соціальній сфері. Сучасні алгоритми здатні аналізувати великі масиви соціальних даних та прогнозувати ризики соціальної ізоляції, безробіття, домашнього насильства чи втрати житла. Хоча використання таких технологій в Україні лише набирає розвитку, міжнародний досвід свідчить про їх значний потенціал у підвищенні ефективності соціальної роботи. Разом із тим застосування штучного інтелекту потребує чіткого дотримання етичних стандартів та забезпечення недопущення дискримінації під час автоматизованого аналізу даних (див. табл. 2.2.) [Eubanks, 2018].</w:t>
      </w:r>
    </w:p>
    <w:p w14:paraId="0EB58156" w14:textId="7D49B37D" w:rsidR="00990A72" w:rsidRDefault="002033C1" w:rsidP="00990A7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Найбільш помітних змін зазнав комунікаційний аспект професійної діяльності соціального працівника. Розвиток цифрових платформ, месенджерів та систем відеозв’язку створив нові можливості для дистанційного консультування населення. Соціальні працівники активно використовують Zoom, Microsoft Teams, Google Meet, Viber та Telegram для проведення консультацій, координації допомоги та підтримки зв’язку з клієнтами. </w:t>
      </w:r>
    </w:p>
    <w:p w14:paraId="659E01AE" w14:textId="7135DC8B" w:rsidR="002033C1" w:rsidRDefault="002033C1"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Особливого значення дистанційна комунікація набула в умовах воєнного стану, коли клієнти та фахівці можуть перебувати в різних регіонах України або за кордоном.</w:t>
      </w:r>
    </w:p>
    <w:p w14:paraId="3A5AB456" w14:textId="44C51A30" w:rsidR="00990A72" w:rsidRDefault="00990A72" w:rsidP="00F47BB4">
      <w:pPr>
        <w:spacing w:after="0" w:line="360" w:lineRule="auto"/>
        <w:ind w:firstLine="851"/>
        <w:jc w:val="both"/>
        <w:rPr>
          <w:rFonts w:ascii="Times New Roman" w:hAnsi="Times New Roman"/>
          <w:sz w:val="28"/>
          <w:szCs w:val="28"/>
          <w:lang w:val="uk-UA"/>
        </w:rPr>
      </w:pPr>
    </w:p>
    <w:p w14:paraId="588A8033" w14:textId="5464F96C" w:rsidR="00990A72" w:rsidRDefault="00990A72" w:rsidP="00F47BB4">
      <w:pPr>
        <w:spacing w:after="0" w:line="360" w:lineRule="auto"/>
        <w:ind w:firstLine="851"/>
        <w:jc w:val="both"/>
        <w:rPr>
          <w:rFonts w:ascii="Times New Roman" w:hAnsi="Times New Roman"/>
          <w:sz w:val="28"/>
          <w:szCs w:val="28"/>
          <w:lang w:val="uk-UA"/>
        </w:rPr>
      </w:pPr>
    </w:p>
    <w:p w14:paraId="40C1765B" w14:textId="77777777" w:rsidR="00990A72" w:rsidRPr="00993978" w:rsidRDefault="00990A72" w:rsidP="00F47BB4">
      <w:pPr>
        <w:spacing w:after="0" w:line="360" w:lineRule="auto"/>
        <w:ind w:firstLine="851"/>
        <w:jc w:val="both"/>
        <w:rPr>
          <w:rFonts w:ascii="Times New Roman" w:hAnsi="Times New Roman"/>
          <w:sz w:val="28"/>
          <w:szCs w:val="28"/>
          <w:lang w:val="uk-UA"/>
        </w:rPr>
      </w:pPr>
    </w:p>
    <w:p w14:paraId="79B34AF2" w14:textId="77777777" w:rsidR="000B53D9" w:rsidRPr="000B53D9" w:rsidRDefault="000B53D9" w:rsidP="000B53D9">
      <w:pPr>
        <w:spacing w:after="0" w:line="360" w:lineRule="auto"/>
        <w:ind w:firstLine="851"/>
        <w:jc w:val="right"/>
        <w:rPr>
          <w:rFonts w:ascii="Times New Roman" w:hAnsi="Times New Roman"/>
          <w:b/>
          <w:sz w:val="28"/>
          <w:szCs w:val="28"/>
          <w:lang w:val="uk-UA"/>
        </w:rPr>
      </w:pPr>
      <w:r>
        <w:rPr>
          <w:rFonts w:ascii="Times New Roman" w:hAnsi="Times New Roman"/>
          <w:b/>
          <w:sz w:val="28"/>
          <w:szCs w:val="28"/>
          <w:lang w:val="uk-UA"/>
        </w:rPr>
        <w:t>Таблиця 2.2.</w:t>
      </w:r>
    </w:p>
    <w:p w14:paraId="6E4F24D7" w14:textId="77777777" w:rsidR="00F47BB4" w:rsidRPr="000B53D9" w:rsidRDefault="00F47BB4" w:rsidP="000B53D9">
      <w:pPr>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Основні напрями впливу цифрових технологій на соціальну роботу</w:t>
      </w:r>
    </w:p>
    <w:tbl>
      <w:tblPr>
        <w:tblStyle w:val="aa"/>
        <w:tblW w:w="9467" w:type="dxa"/>
        <w:tblLook w:val="04A0" w:firstRow="1" w:lastRow="0" w:firstColumn="1" w:lastColumn="0" w:noHBand="0" w:noVBand="1"/>
      </w:tblPr>
      <w:tblGrid>
        <w:gridCol w:w="2727"/>
        <w:gridCol w:w="3042"/>
        <w:gridCol w:w="3698"/>
      </w:tblGrid>
      <w:tr w:rsidR="00F47BB4" w:rsidRPr="00993978" w14:paraId="33D827A3" w14:textId="77777777" w:rsidTr="00990A72">
        <w:trPr>
          <w:trHeight w:val="238"/>
        </w:trPr>
        <w:tc>
          <w:tcPr>
            <w:tcW w:w="2727" w:type="dxa"/>
          </w:tcPr>
          <w:p w14:paraId="530E3E33" w14:textId="77777777" w:rsidR="00F47BB4" w:rsidRPr="00993978" w:rsidRDefault="00F47BB4" w:rsidP="00F47BB4">
            <w:pPr>
              <w:jc w:val="center"/>
              <w:rPr>
                <w:rFonts w:ascii="Times New Roman" w:eastAsia="Arial" w:hAnsi="Times New Roman"/>
                <w:b/>
                <w:bCs/>
                <w:color w:val="FFFFFF"/>
                <w:sz w:val="24"/>
                <w:szCs w:val="20"/>
                <w:lang w:val="uk-UA"/>
              </w:rPr>
            </w:pPr>
            <w:r>
              <w:rPr>
                <w:rFonts w:ascii="Times New Roman" w:hAnsi="Times New Roman"/>
                <w:sz w:val="24"/>
                <w:lang w:val="uk-UA"/>
              </w:rPr>
              <w:t>Напрям впливу</w:t>
            </w:r>
          </w:p>
        </w:tc>
        <w:tc>
          <w:tcPr>
            <w:tcW w:w="3042" w:type="dxa"/>
          </w:tcPr>
          <w:p w14:paraId="64750BEF" w14:textId="77777777" w:rsidR="00F47BB4" w:rsidRPr="00993978" w:rsidRDefault="00F47BB4" w:rsidP="00F47BB4">
            <w:pPr>
              <w:jc w:val="center"/>
              <w:rPr>
                <w:rFonts w:ascii="Times New Roman" w:eastAsia="Arial" w:hAnsi="Times New Roman"/>
                <w:b/>
                <w:bCs/>
                <w:color w:val="FFFFFF"/>
                <w:sz w:val="24"/>
                <w:szCs w:val="20"/>
                <w:lang w:val="uk-UA"/>
              </w:rPr>
            </w:pPr>
            <w:r>
              <w:rPr>
                <w:rFonts w:ascii="Times New Roman" w:hAnsi="Times New Roman"/>
                <w:sz w:val="24"/>
                <w:lang w:val="uk-UA"/>
              </w:rPr>
              <w:t>Цифрові інструменти</w:t>
            </w:r>
          </w:p>
        </w:tc>
        <w:tc>
          <w:tcPr>
            <w:tcW w:w="3698" w:type="dxa"/>
          </w:tcPr>
          <w:p w14:paraId="7957AEC1" w14:textId="77777777" w:rsidR="00F47BB4" w:rsidRPr="00993978" w:rsidRDefault="00F47BB4" w:rsidP="00F47BB4">
            <w:pPr>
              <w:jc w:val="center"/>
              <w:rPr>
                <w:rFonts w:ascii="Times New Roman" w:eastAsia="Arial" w:hAnsi="Times New Roman"/>
                <w:b/>
                <w:bCs/>
                <w:color w:val="FFFFFF"/>
                <w:sz w:val="24"/>
                <w:szCs w:val="20"/>
                <w:lang w:val="uk-UA"/>
              </w:rPr>
            </w:pPr>
            <w:r>
              <w:rPr>
                <w:rFonts w:ascii="Times New Roman" w:hAnsi="Times New Roman"/>
                <w:sz w:val="24"/>
                <w:lang w:val="uk-UA"/>
              </w:rPr>
              <w:t>Результат / Ефект</w:t>
            </w:r>
          </w:p>
        </w:tc>
      </w:tr>
      <w:tr w:rsidR="00F47BB4" w:rsidRPr="00993978" w14:paraId="516B456E" w14:textId="77777777" w:rsidTr="00990A72">
        <w:trPr>
          <w:trHeight w:val="732"/>
        </w:trPr>
        <w:tc>
          <w:tcPr>
            <w:tcW w:w="2727" w:type="dxa"/>
            <w:hideMark/>
          </w:tcPr>
          <w:p w14:paraId="06756612"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Діагностична функція</w:t>
            </w:r>
          </w:p>
        </w:tc>
        <w:tc>
          <w:tcPr>
            <w:tcW w:w="3042" w:type="dxa"/>
            <w:hideMark/>
          </w:tcPr>
          <w:p w14:paraId="60D96973"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Електронні анкети, онлайн-опитувальники, бази даних, ГІС</w:t>
            </w:r>
          </w:p>
        </w:tc>
        <w:tc>
          <w:tcPr>
            <w:tcW w:w="3698" w:type="dxa"/>
            <w:hideMark/>
          </w:tcPr>
          <w:p w14:paraId="0FAF415D"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Швидка первинна оцінка потреб; картування соціальних ризиків</w:t>
            </w:r>
          </w:p>
        </w:tc>
      </w:tr>
      <w:tr w:rsidR="00F47BB4" w:rsidRPr="00993978" w14:paraId="7AF8C6EE" w14:textId="77777777" w:rsidTr="00990A72">
        <w:trPr>
          <w:trHeight w:val="492"/>
        </w:trPr>
        <w:tc>
          <w:tcPr>
            <w:tcW w:w="2727" w:type="dxa"/>
            <w:hideMark/>
          </w:tcPr>
          <w:p w14:paraId="1B537317"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Комунікація з клієнтами</w:t>
            </w:r>
          </w:p>
        </w:tc>
        <w:tc>
          <w:tcPr>
            <w:tcW w:w="3042" w:type="dxa"/>
            <w:hideMark/>
          </w:tcPr>
          <w:p w14:paraId="6B7302EF"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Zoom, Teams, Viber, Telegram, чат-боти</w:t>
            </w:r>
          </w:p>
        </w:tc>
        <w:tc>
          <w:tcPr>
            <w:tcW w:w="3698" w:type="dxa"/>
            <w:hideMark/>
          </w:tcPr>
          <w:p w14:paraId="364472E7"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Дистанційне консультування; оперативне реагування на запити</w:t>
            </w:r>
          </w:p>
        </w:tc>
      </w:tr>
      <w:tr w:rsidR="00F47BB4" w:rsidRPr="00993978" w14:paraId="2CAC7DFB" w14:textId="77777777" w:rsidTr="00990A72">
        <w:trPr>
          <w:trHeight w:val="971"/>
        </w:trPr>
        <w:tc>
          <w:tcPr>
            <w:tcW w:w="2727" w:type="dxa"/>
            <w:hideMark/>
          </w:tcPr>
          <w:p w14:paraId="34F48F73"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Документування та звітність</w:t>
            </w:r>
          </w:p>
        </w:tc>
        <w:tc>
          <w:tcPr>
            <w:tcW w:w="3042" w:type="dxa"/>
            <w:hideMark/>
          </w:tcPr>
          <w:p w14:paraId="252FF357"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Електронний документообіг, системи управління кейсами, «Соціальна громада»</w:t>
            </w:r>
          </w:p>
        </w:tc>
        <w:tc>
          <w:tcPr>
            <w:tcW w:w="3698" w:type="dxa"/>
            <w:hideMark/>
          </w:tcPr>
          <w:p w14:paraId="3B970BCD"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Скорочення паперової роботи; координація між установами</w:t>
            </w:r>
          </w:p>
        </w:tc>
      </w:tr>
      <w:tr w:rsidR="00F47BB4" w:rsidRPr="00993978" w14:paraId="2B97F3AF" w14:textId="77777777" w:rsidTr="00990A72">
        <w:trPr>
          <w:trHeight w:val="716"/>
        </w:trPr>
        <w:tc>
          <w:tcPr>
            <w:tcW w:w="2727" w:type="dxa"/>
            <w:hideMark/>
          </w:tcPr>
          <w:p w14:paraId="7069DD19"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Аналітика та прогнозування</w:t>
            </w:r>
          </w:p>
        </w:tc>
        <w:tc>
          <w:tcPr>
            <w:tcW w:w="3042" w:type="dxa"/>
            <w:hideMark/>
          </w:tcPr>
          <w:p w14:paraId="2853FCE6"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Штучний інтелект, предиктивна аналітика, великі дані</w:t>
            </w:r>
          </w:p>
        </w:tc>
        <w:tc>
          <w:tcPr>
            <w:tcW w:w="3698" w:type="dxa"/>
            <w:hideMark/>
          </w:tcPr>
          <w:p w14:paraId="3919BDED"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Прогнозування ризиків: ізоляція, безробіття, насильство, втрата житла</w:t>
            </w:r>
          </w:p>
        </w:tc>
      </w:tr>
      <w:tr w:rsidR="00F47BB4" w:rsidRPr="00930153" w14:paraId="10C452E2" w14:textId="77777777" w:rsidTr="00990A72">
        <w:trPr>
          <w:trHeight w:val="732"/>
        </w:trPr>
        <w:tc>
          <w:tcPr>
            <w:tcW w:w="2727" w:type="dxa"/>
            <w:hideMark/>
          </w:tcPr>
          <w:p w14:paraId="7F6C3818"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Волонтерська діяльність</w:t>
            </w:r>
          </w:p>
        </w:tc>
        <w:tc>
          <w:tcPr>
            <w:tcW w:w="3042" w:type="dxa"/>
            <w:hideMark/>
          </w:tcPr>
          <w:p w14:paraId="75B0E168"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Онлайн-платформи, картографічні сервіси, соціальні мережі</w:t>
            </w:r>
          </w:p>
        </w:tc>
        <w:tc>
          <w:tcPr>
            <w:tcW w:w="3698" w:type="dxa"/>
            <w:hideMark/>
          </w:tcPr>
          <w:p w14:paraId="1DC45A2E"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Координація гуманітарної допомоги; оптимізація логістики</w:t>
            </w:r>
          </w:p>
        </w:tc>
      </w:tr>
      <w:tr w:rsidR="00F47BB4" w:rsidRPr="00993978" w14:paraId="294FC6B1" w14:textId="77777777" w:rsidTr="00990A72">
        <w:trPr>
          <w:trHeight w:val="716"/>
        </w:trPr>
        <w:tc>
          <w:tcPr>
            <w:tcW w:w="2727" w:type="dxa"/>
            <w:hideMark/>
          </w:tcPr>
          <w:p w14:paraId="56AC561B"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Професійна підготовка</w:t>
            </w:r>
          </w:p>
        </w:tc>
        <w:tc>
          <w:tcPr>
            <w:tcW w:w="3042" w:type="dxa"/>
            <w:hideMark/>
          </w:tcPr>
          <w:p w14:paraId="2C7037E1"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Дистанційне навчання, e-learning платформи</w:t>
            </w:r>
          </w:p>
        </w:tc>
        <w:tc>
          <w:tcPr>
            <w:tcW w:w="3698" w:type="dxa"/>
            <w:hideMark/>
          </w:tcPr>
          <w:p w14:paraId="681C860E" w14:textId="77777777" w:rsidR="00F47BB4" w:rsidRPr="00993978" w:rsidRDefault="00F47BB4" w:rsidP="00F47BB4">
            <w:pPr>
              <w:jc w:val="both"/>
              <w:rPr>
                <w:rFonts w:ascii="Times New Roman" w:eastAsia="Arial" w:hAnsi="Times New Roman"/>
                <w:sz w:val="24"/>
                <w:lang w:val="uk-UA"/>
              </w:rPr>
            </w:pPr>
            <w:r>
              <w:rPr>
                <w:rFonts w:ascii="Times New Roman" w:eastAsia="Arial" w:hAnsi="Times New Roman"/>
                <w:color w:val="000000"/>
                <w:sz w:val="24"/>
                <w:szCs w:val="20"/>
                <w:lang w:val="uk-UA"/>
              </w:rPr>
              <w:t>Формування цифрових компетентностей; «цифрова соціальна робота»</w:t>
            </w:r>
          </w:p>
        </w:tc>
      </w:tr>
    </w:tbl>
    <w:p w14:paraId="74863496"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5B9C58D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Використання цифрових каналів комунікації дозволяє значно підвищити оперативність реагування на потреби громадян. Завдяки месенджерам та електронним сервісам соціальні працівники можуть швидко інформувати клієнтів про доступні види допомоги, координувати дії між різними установами та надавати психологічну підтримку у кризових ситуаціях. Чат-боти та автоматизовані системи консультування виконують функцію первинної підтримки та дозволяють обробляти стандартні запити без безпосередньої участі спеціаліста [Єресько, 2022].</w:t>
      </w:r>
    </w:p>
    <w:p w14:paraId="18096E80"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Соціальні мережі також стали важливим інструментом професійної діяльності соціальних працівників та волонтерів. Через Facebook, Instagram, Telegram-канали та інші цифрові платформи здійснюється інформування населення про соціальні програми, збір гуманітарної допомоги, координація волонтерських ініціатив та пошук осіб, які потребують підтримки. Соціальні мережі дозволяють охоплювати широкі аудиторії та оперативно поширювати важливу інформацію навіть у кризових умовах [Єресько, 2022].</w:t>
      </w:r>
    </w:p>
    <w:p w14:paraId="3CE0ED08"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Разом із позитивними змінами цифровізація комунікації створює нові етичні виклики для соціальної роботи. Одним із найважливіших питань є забезпечення конфіденційності персональних даних клієнтів. Соціальні працівники працюють із великою кількістю чутливої інформації, тому використання цифрових платформ вимагає високого рівня відповідальності та дотримання норм інформаційної безпеки. У сучасних умовах фахівець соціальної сфери повинен володіти не лише професійними знаннями, але й базовими компетентностями у сфері кібербезпеки та захисту персональних даних [Виговська, 2022].</w:t>
      </w:r>
    </w:p>
    <w:p w14:paraId="1BF21F27"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Суттєвих змін зазнала й документаційна діяльність соціального працівника. Впровадження електронного документообігу та систем управління кейсами дозволило значно скоротити обсяг паперової роботи. Сучасні цифрові системи забезпечують можливість ведення електронних досьє клієнтів, автоматичного формування звітності, відстеження динаміки надання соціальних послуг та координації між різними установами. Це сприяє оптимізації робочого часу та підвищує ефективність організації соціальної допомоги.</w:t>
      </w:r>
    </w:p>
    <w:p w14:paraId="32A1ED71"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Особливе значення в Україні має впровадження системи «Соціальна громада», яка стала важливим інструментом цифровізації соціального захисту населення. Завдяки цій платформі значна частина адміністративних процедур здійснюється в електронному форматі, що дозволяє громадянам отримувати соціальні послуги швидше та зручніше. Для соціальних працівників це означає можливість більш ефективного управління випадками та зменшення бюрократичного навантаження [Мінсоцполітики, 2023].</w:t>
      </w:r>
    </w:p>
    <w:p w14:paraId="091ECC77"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Водночас цифровізація документаційної діяльності створює ризики технічної залежності та інформаційних перевантажень. Постійна необхідність працювати з великою кількістю електронних систем, оновлювати цифрові навички та адаптуватися до нових платформ може спричиняти професійне виснаження працівників. Крім того, технічні збої або кібератаки здатні суттєво ускладнювати функціонування соціальних служб, особливо в умовах воєнного стану (див. табл. 2.3.) [Лахман, 2023].</w:t>
      </w:r>
    </w:p>
    <w:p w14:paraId="7D969E7C" w14:textId="77777777" w:rsidR="00267BE1" w:rsidRDefault="00F47BB4" w:rsidP="00267BE1">
      <w:pPr>
        <w:spacing w:after="0" w:line="360" w:lineRule="auto"/>
        <w:ind w:firstLine="851"/>
        <w:jc w:val="right"/>
        <w:rPr>
          <w:rFonts w:ascii="Times New Roman" w:hAnsi="Times New Roman"/>
          <w:b/>
          <w:sz w:val="28"/>
          <w:szCs w:val="28"/>
          <w:lang w:val="uk-UA"/>
        </w:rPr>
      </w:pPr>
      <w:r>
        <w:rPr>
          <w:rFonts w:ascii="Times New Roman" w:hAnsi="Times New Roman"/>
          <w:b/>
          <w:sz w:val="28"/>
          <w:szCs w:val="28"/>
          <w:lang w:val="uk-UA"/>
        </w:rPr>
        <w:t>Таблиця 2.3.</w:t>
      </w:r>
    </w:p>
    <w:p w14:paraId="164AF02A" w14:textId="77777777" w:rsidR="00F47BB4" w:rsidRPr="00993978" w:rsidRDefault="00F47BB4" w:rsidP="00F47BB4">
      <w:pPr>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 xml:space="preserve"> Переваги та ризики цифровізації соціальної сфери</w:t>
      </w:r>
    </w:p>
    <w:tbl>
      <w:tblPr>
        <w:tblStyle w:val="aa"/>
        <w:tblW w:w="9026" w:type="dxa"/>
        <w:tblLook w:val="04A0" w:firstRow="1" w:lastRow="0" w:firstColumn="1" w:lastColumn="0" w:noHBand="0" w:noVBand="1"/>
      </w:tblPr>
      <w:tblGrid>
        <w:gridCol w:w="4513"/>
        <w:gridCol w:w="4513"/>
      </w:tblGrid>
      <w:tr w:rsidR="00F47BB4" w:rsidRPr="00993978" w14:paraId="6DF0BD8A" w14:textId="77777777" w:rsidTr="00990A72">
        <w:tc>
          <w:tcPr>
            <w:tcW w:w="4513" w:type="dxa"/>
          </w:tcPr>
          <w:p w14:paraId="34F1FB8A" w14:textId="77777777" w:rsidR="00F47BB4" w:rsidRPr="00990A72" w:rsidRDefault="00F47BB4" w:rsidP="00F47BB4">
            <w:pPr>
              <w:jc w:val="center"/>
              <w:rPr>
                <w:rFonts w:ascii="Times New Roman" w:eastAsia="Arial" w:hAnsi="Times New Roman"/>
                <w:b/>
                <w:bCs/>
                <w:sz w:val="24"/>
                <w:szCs w:val="20"/>
                <w:lang w:val="uk-UA"/>
              </w:rPr>
            </w:pPr>
            <w:r>
              <w:rPr>
                <w:rFonts w:ascii="Times New Roman" w:eastAsia="Arial" w:hAnsi="Times New Roman"/>
                <w:b/>
                <w:sz w:val="24"/>
                <w:szCs w:val="20"/>
                <w:lang w:val="uk-UA"/>
              </w:rPr>
              <w:t>Переваги цифровізації</w:t>
            </w:r>
          </w:p>
        </w:tc>
        <w:tc>
          <w:tcPr>
            <w:tcW w:w="4513" w:type="dxa"/>
          </w:tcPr>
          <w:p w14:paraId="424BB878" w14:textId="77777777" w:rsidR="00F47BB4" w:rsidRPr="00993978" w:rsidRDefault="00F47BB4" w:rsidP="00F47BB4">
            <w:pPr>
              <w:jc w:val="center"/>
              <w:rPr>
                <w:rFonts w:ascii="Times New Roman" w:eastAsia="Arial" w:hAnsi="Times New Roman"/>
                <w:b/>
                <w:bCs/>
                <w:sz w:val="24"/>
                <w:szCs w:val="20"/>
                <w:lang w:val="uk-UA"/>
              </w:rPr>
            </w:pPr>
            <w:r>
              <w:rPr>
                <w:rFonts w:ascii="Times New Roman" w:eastAsia="Arial" w:hAnsi="Times New Roman"/>
                <w:b/>
                <w:bCs/>
                <w:sz w:val="24"/>
                <w:szCs w:val="20"/>
                <w:lang w:val="uk-UA"/>
              </w:rPr>
              <w:t>Ризики та виклики</w:t>
            </w:r>
          </w:p>
        </w:tc>
      </w:tr>
      <w:tr w:rsidR="00F47BB4" w:rsidRPr="00993978" w14:paraId="6EF6923B" w14:textId="77777777" w:rsidTr="00990A72">
        <w:tc>
          <w:tcPr>
            <w:tcW w:w="4513" w:type="dxa"/>
            <w:hideMark/>
          </w:tcPr>
          <w:p w14:paraId="47A45131"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Підвищення доступності та оперативності соціальних послуг</w:t>
            </w:r>
          </w:p>
        </w:tc>
        <w:tc>
          <w:tcPr>
            <w:tcW w:w="4513" w:type="dxa"/>
            <w:hideMark/>
          </w:tcPr>
          <w:p w14:paraId="05CB9A99"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Технологічне відчуження; зниження особистісного контакту</w:t>
            </w:r>
          </w:p>
        </w:tc>
      </w:tr>
      <w:tr w:rsidR="00F47BB4" w:rsidRPr="00993978" w14:paraId="68FA4088" w14:textId="77777777" w:rsidTr="00990A72">
        <w:tc>
          <w:tcPr>
            <w:tcW w:w="4513" w:type="dxa"/>
            <w:hideMark/>
          </w:tcPr>
          <w:p w14:paraId="0454D98C"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Ефективне управління даними та ресурсами</w:t>
            </w:r>
          </w:p>
        </w:tc>
        <w:tc>
          <w:tcPr>
            <w:tcW w:w="4513" w:type="dxa"/>
            <w:hideMark/>
          </w:tcPr>
          <w:p w14:paraId="462A89EE"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Загрози конфіденційності персональних даних клієнтів</w:t>
            </w:r>
          </w:p>
        </w:tc>
      </w:tr>
      <w:tr w:rsidR="00F47BB4" w:rsidRPr="00993978" w14:paraId="70EB2A61" w14:textId="77777777" w:rsidTr="00990A72">
        <w:tc>
          <w:tcPr>
            <w:tcW w:w="4513" w:type="dxa"/>
            <w:hideMark/>
          </w:tcPr>
          <w:p w14:paraId="638A8FC6"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Дистанційне консультування (зокрема в умовах воєнного стану)</w:t>
            </w:r>
          </w:p>
        </w:tc>
        <w:tc>
          <w:tcPr>
            <w:tcW w:w="4513" w:type="dxa"/>
            <w:hideMark/>
          </w:tcPr>
          <w:p w14:paraId="55BA8E1F"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Інформаційне перевантаження та цифровий стрес фахівців</w:t>
            </w:r>
          </w:p>
        </w:tc>
      </w:tr>
      <w:tr w:rsidR="00F47BB4" w:rsidRPr="00993978" w14:paraId="785DAE6F" w14:textId="77777777" w:rsidTr="00990A72">
        <w:tc>
          <w:tcPr>
            <w:tcW w:w="4513" w:type="dxa"/>
            <w:hideMark/>
          </w:tcPr>
          <w:p w14:paraId="08C5B364"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Прогнозування соціальних ризиків за допомогою ШІ</w:t>
            </w:r>
          </w:p>
        </w:tc>
        <w:tc>
          <w:tcPr>
            <w:tcW w:w="4513" w:type="dxa"/>
            <w:hideMark/>
          </w:tcPr>
          <w:p w14:paraId="237FC963"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Технічна залежність; вразливість до кібератак</w:t>
            </w:r>
          </w:p>
        </w:tc>
      </w:tr>
      <w:tr w:rsidR="00F47BB4" w:rsidRPr="00993978" w14:paraId="7AB8F241" w14:textId="77777777" w:rsidTr="00990A72">
        <w:tc>
          <w:tcPr>
            <w:tcW w:w="4513" w:type="dxa"/>
            <w:hideMark/>
          </w:tcPr>
          <w:p w14:paraId="3CF9BF80"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Ефективна координація волонтерів та НГО</w:t>
            </w:r>
          </w:p>
        </w:tc>
        <w:tc>
          <w:tcPr>
            <w:tcW w:w="4513" w:type="dxa"/>
            <w:hideMark/>
          </w:tcPr>
          <w:p w14:paraId="54346FFC" w14:textId="77777777" w:rsidR="00F47BB4" w:rsidRPr="00993978" w:rsidRDefault="00F47BB4" w:rsidP="00F47BB4">
            <w:pPr>
              <w:rPr>
                <w:rFonts w:ascii="Times New Roman" w:eastAsia="Arial" w:hAnsi="Times New Roman"/>
                <w:sz w:val="24"/>
                <w:lang w:val="uk-UA"/>
              </w:rPr>
            </w:pPr>
            <w:r>
              <w:rPr>
                <w:rFonts w:ascii="Times New Roman" w:eastAsia="Arial" w:hAnsi="Times New Roman"/>
                <w:color w:val="000000"/>
                <w:sz w:val="24"/>
                <w:szCs w:val="20"/>
                <w:lang w:val="uk-UA"/>
              </w:rPr>
              <w:t>Нерівний доступ до технологій (цифровий розрив)</w:t>
            </w:r>
          </w:p>
        </w:tc>
      </w:tr>
    </w:tbl>
    <w:p w14:paraId="2432B468" w14:textId="77777777" w:rsidR="00F47BB4" w:rsidRPr="00993978" w:rsidRDefault="00F47BB4" w:rsidP="00F47BB4">
      <w:pPr>
        <w:spacing w:after="0" w:line="360" w:lineRule="auto"/>
        <w:ind w:firstLine="851"/>
        <w:jc w:val="center"/>
        <w:rPr>
          <w:rFonts w:ascii="Times New Roman" w:hAnsi="Times New Roman"/>
          <w:sz w:val="28"/>
          <w:szCs w:val="28"/>
          <w:lang w:val="uk-UA"/>
        </w:rPr>
      </w:pPr>
    </w:p>
    <w:p w14:paraId="483FB8F2"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Важливим напрямом трансформації професійної діяльності є формування нових цифрових компетентностей соціального працівника. Сучасний фахівець повинен вміти користуватися електронними платформами, проводити дистанційні консультації, працювати з базами даних, використовувати цифрові сервіси та навчати клієнтів користуванню електронними послугами. Поступово в міжнародній практиці формується концепція «цифрової соціальної роботи», яка передбачає інтеграцію цифрових технологій у всі етапи професійної діяльності [Гайович, 2022].</w:t>
      </w:r>
    </w:p>
    <w:p w14:paraId="4FA6FA7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зв’язку з цим суттєво змінюється система професійної підготовки соціальних працівників. Заклади вищої освіти дедалі активніше впроваджують дисципліни, пов’язані з цифровими технологіями, електронним урядуванням, кібербезпекою та дистанційним консультуванням. Майбутні фахівці повинні не лише володіти теоретичними знаннями, але й бути готовими працювати в умовах постійної цифрової трансформації соціальної сфери [Семигіна, 2021].</w:t>
      </w:r>
    </w:p>
    <w:p w14:paraId="53E3D6A3"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Особливу роль у контексті цифровізації соціальної сфери відіграє волонтерська діяльність. В умовах війни волонтери стали важливою складовою системи соціальної підтримки населення, а цифрові технології значно розширили їх можливості. Онлайн-платформи дозволяють координувати гуманітарну допомогу, здійснювати пошук ресурсів, організовувати благодійні збори та підтримувати зв’язок між волонтерськими організаціями. Використання цифрових сервісів дозволяє швидко реагувати на потреби населення та забезпечувати ефективну взаємодію між різними суб’єктами волонтерської діяльності.</w:t>
      </w:r>
    </w:p>
    <w:p w14:paraId="66AE0D8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Картографічні сервіси та цифрові системи логістики стали важливими інструментами координації гуманітарної допомоги. За допомогою сучасних технологій волонтери можуть оптимізувати маршрути доставки, визначати найбільш постраждалі регіони та контролювати розподіл ресурсів [Мінсоцполітики, 2023]. Це особливо важливо в умовах надзвичайних ситуацій, коли швидкість реагування безпосередньо впливає на безпеку та життя людей.</w:t>
      </w:r>
    </w:p>
    <w:p w14:paraId="3E498D2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Попри значні переваги цифровізації, дослідники наголошують на ризику «технологічного відчуження» у соціальній роботі. Надмірна орієнтація на цифрові сервіси може призводити до зниження рівня особистісного контакту між соціальним працівником і клієнтом, втрати емоційної підтримки та формального підходу до вирішення соціальних проблем. Соціальна робота традиційно базується на принципах емпатії, довіри та індивідуального підходу, тому цифрові технології повинні залишатися інструментом допомоги, а не заміною людської взаємодії [Рева, 2022].</w:t>
      </w:r>
    </w:p>
    <w:p w14:paraId="26B89883"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Дослідження свідчать, що ставлення соціальних працівників до цифровізації є неоднозначним. Значна частина фахівців позитивно оцінює можливості автоматизації процесів та підвищення ефективності роботи, однак водночас багато працівників відчувають збільшення професійного навантаження через необхідність постійного опанування нових технологій. Це свідчить про необхідність створення системи професійної підтримки, навчання та технічного супроводу фахівців соціальної сфери [Andreassen, 2019].</w:t>
      </w:r>
    </w:p>
    <w:p w14:paraId="12BFABCA"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 вплив цифрових технологій на професійну діяльність соціального працівника та волонтера є комплексним і багатовимірним. Цифровізація відкриває широкі можливості для підвищення доступності, оперативності та ефективності соціальних послуг, сприяє розвитку дистанційного консультування та вдосконаленню системи соціального захисту населення. Водночас вона вимагає оновлення професійних компетентностей, дотримання нових етичних стандартів та збереження людиноцентричного підходу до соціальної роботи. Лише поєднання технологічних інновацій із гуманістичними цінностями професії дозволить забезпечити ефективне функціонування соціальної сфери в умовах цифрового суспільства.</w:t>
      </w:r>
    </w:p>
    <w:p w14:paraId="5E2E21D3"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2AD47365" w14:textId="77777777" w:rsidR="00F47BB4" w:rsidRPr="00993978" w:rsidRDefault="004435F5" w:rsidP="00F47BB4">
      <w:pPr>
        <w:spacing w:after="0" w:line="360" w:lineRule="auto"/>
        <w:ind w:firstLine="851"/>
        <w:jc w:val="both"/>
        <w:rPr>
          <w:rFonts w:ascii="Times New Roman" w:hAnsi="Times New Roman"/>
          <w:b/>
          <w:bCs/>
          <w:sz w:val="28"/>
          <w:szCs w:val="28"/>
          <w:lang w:val="uk-UA"/>
        </w:rPr>
      </w:pPr>
      <w:r>
        <w:rPr>
          <w:rFonts w:ascii="Times New Roman" w:hAnsi="Times New Roman"/>
          <w:b/>
          <w:bCs/>
          <w:sz w:val="28"/>
          <w:szCs w:val="28"/>
          <w:lang w:val="uk-UA"/>
        </w:rPr>
        <w:t>Висновки до 2 розділу</w:t>
      </w:r>
    </w:p>
    <w:p w14:paraId="335BB811" w14:textId="77777777" w:rsidR="00F47BB4" w:rsidRPr="00993978" w:rsidRDefault="00F47BB4" w:rsidP="00F47BB4">
      <w:pPr>
        <w:spacing w:after="0" w:line="360" w:lineRule="auto"/>
        <w:ind w:firstLine="851"/>
        <w:jc w:val="both"/>
        <w:rPr>
          <w:rFonts w:ascii="Times New Roman" w:hAnsi="Times New Roman"/>
          <w:sz w:val="28"/>
          <w:szCs w:val="28"/>
          <w:lang w:val="uk-UA"/>
        </w:rPr>
      </w:pPr>
    </w:p>
    <w:p w14:paraId="60B13DDD"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результаті проведеного дослідження було встановлено, що цифровізація системи соціальних послуг є одним із ключових напрямів модернізації сучасної соціальної сфери в Україні. Стрімкий розвиток інформаційно-комунікаційних технологій, глобальні суспільні трансформації та виклики воєнного часу зумовили необхідність переосмислення традиційних підходів до організації соціального обслуговування населення. Перехід до дистанційного формату надання соціальних послуг став не лише технологічним нововведенням, а й важливою умовою забезпечення безперервності соціальної підтримки громадян у кризових умовах.</w:t>
      </w:r>
    </w:p>
    <w:p w14:paraId="0A9F3163"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ході дослідження з’ясовано, що цифрові консультаційні платформи сьогодні виступають одним із головних інструментів взаємодії між державою та громадянами у сфері соціального захисту. Впровадження електронних сервісів дозволило значно розширити доступ населення до соціальної допомоги, спростити процедури оформлення документів, скоротити час отримання консультацій та забезпечити оперативність комунікації. Особливу роль у процесі цифровізації відіграє екосистема «Дія», яка стала основою формування єдиного цифрового простору державних послуг в Україні.</w:t>
      </w:r>
    </w:p>
    <w:p w14:paraId="18365E3C" w14:textId="77777777" w:rsidR="008A329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Дослідження підтвердило, що ефективність цифрового соціального обслуговування значною мірою залежить від рівня адаптованості електронних платформ до потреб різних категорій населення. Установлено, що значна частина цифрових сервісів досі не повною мірою відповідає міжнародним стандартам вебдоступності. Це створює додаткові труднощі для осіб з порушеннями зору, слуху або опорно-рухового апарату. </w:t>
      </w:r>
    </w:p>
    <w:p w14:paraId="78C9F14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Водночас у процесі дослідження було встановлено, що дистанційний формат не здатний повністю замінити очне соціальне обслуговування. Робота зі складними соціальними випадками, кризовими ситуаціями та психологічно вразливими категоріями населення потребує безпосереднього людського контакту, емоційної підтримки та індивідуального підходу. Це свідчить про необхідність поєднання цифрових технологій із традиційними методами соціальної роботи для забезпечення максимальної ефективності соціальної допомоги.</w:t>
      </w:r>
    </w:p>
    <w:p w14:paraId="7639DD3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Особливу увагу в дослідженні було приділено впливу цифрових технологій на професійну діяльність соціального працівника. Встановлено, що цифровізація суттєво трансформує зміст професійних функцій фахівця, змінює організацію роботи та формує нові вимоги до рівня професійних компетентностей. Соціальний працівник повинен не лише володіти навичками традиційної соціальної роботи, але й уміти користуватися цифровими платформами, працювати з електронними базами даних, забезпечувати захист персональної інформації та здійснювати дистанційне консультування.</w:t>
      </w:r>
    </w:p>
    <w:p w14:paraId="24E8C8F9"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Дослідження також показало, що в умовах воєнного часу важливу роль у системі соціальної підтримки населення відіграє волонтерський рух. Саме цифрові технології забезпечили високий рівень координації волонтерської діяльності, оперативний обмін інформацією та ефективну організацію гуманітарної допомоги. Використання онлайн-платформ, соціальних мереж та месенджерів дозволило значно підвищити швидкість реагування на потреби населення та забезпечити мобілізацію громадянського суспільства.</w:t>
      </w:r>
    </w:p>
    <w:p w14:paraId="1172B647"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Разом із позитивними наслідками цифровізації виявлено й певні ризики. Одним із них є проблема технологічного відчуження, яка проявляється у зменшенні ролі живого людського спілкування в процесі соціальної роботи. Надмірна залежність від цифрових сервісів може призводити до формалізації взаємодії між соціальним працівником і клієнтом, втрати емоційної підтримки та послаблення гуманістичної складової соціальної допомоги. Саме тому в процесі цифрової трансформації соціальної сфери важливо забезпечити баланс між технологічною ефективністю та людиноцентричним підходом.</w:t>
      </w:r>
    </w:p>
    <w:p w14:paraId="78C76FA5"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 результати проведеного дослідження підтверджують, що цифровізація соціальних послуг є закономірним етапом розвитку сучасної системи соціального захисту населення. Цифрові консультаційні платформи створюють нові можливості для підвищення доступності, оперативності та ефективності соціального обслуговування, однак потребують подальшого вдосконалення з урахуванням потреб різних категорій населення. Подолання цифрової нерівності, розвиток інклюзивного цифрового середовища, забезпечення інформаційної безпеки та професійної підтримки соціальних працівників є необхідними умовами успішного розвитку дистанційного формату соціальних послуг в Україні.</w:t>
      </w:r>
    </w:p>
    <w:p w14:paraId="16131371" w14:textId="77777777" w:rsidR="00F47BB4" w:rsidRPr="00993978" w:rsidRDefault="00F47BB4" w:rsidP="00F47BB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Перспективи подальшого розвитку системи дистанційного соціального обслуговування пов’язані з удосконаленням цифрових платформ, розширенням міжвідомчої взаємодії, упровадженням інноваційних технологій та підвищенням рівня цифрової грамотності населення. Лише комплексний підхід до цифрової трансформації соціальної сфери дозволить створити ефективну, доступну та орієнтовану на потреби людини систему соціального захисту, здатну функціонувати в умовах сучасних суспільних викликів.</w:t>
      </w:r>
    </w:p>
    <w:p w14:paraId="4062CE70" w14:textId="77777777" w:rsidR="00990A72" w:rsidRDefault="00990A72" w:rsidP="00F22ADF">
      <w:pPr>
        <w:spacing w:after="0" w:line="360" w:lineRule="auto"/>
        <w:ind w:firstLine="709"/>
        <w:jc w:val="center"/>
        <w:rPr>
          <w:rFonts w:ascii="Times New Roman" w:hAnsi="Times New Roman"/>
          <w:b/>
          <w:sz w:val="28"/>
          <w:szCs w:val="28"/>
          <w:lang w:val="uk-UA"/>
        </w:rPr>
      </w:pPr>
    </w:p>
    <w:p w14:paraId="0B58B334" w14:textId="77777777" w:rsidR="00990A72" w:rsidRDefault="00990A72" w:rsidP="00F22ADF">
      <w:pPr>
        <w:spacing w:after="0" w:line="360" w:lineRule="auto"/>
        <w:ind w:firstLine="709"/>
        <w:jc w:val="center"/>
        <w:rPr>
          <w:rFonts w:ascii="Times New Roman" w:hAnsi="Times New Roman"/>
          <w:b/>
          <w:sz w:val="28"/>
          <w:szCs w:val="28"/>
          <w:lang w:val="uk-UA"/>
        </w:rPr>
      </w:pPr>
    </w:p>
    <w:p w14:paraId="6E28F786" w14:textId="77777777" w:rsidR="00990A72" w:rsidRDefault="00990A72" w:rsidP="00F22ADF">
      <w:pPr>
        <w:spacing w:after="0" w:line="360" w:lineRule="auto"/>
        <w:ind w:firstLine="709"/>
        <w:jc w:val="center"/>
        <w:rPr>
          <w:rFonts w:ascii="Times New Roman" w:hAnsi="Times New Roman"/>
          <w:b/>
          <w:sz w:val="28"/>
          <w:szCs w:val="28"/>
          <w:lang w:val="uk-UA"/>
        </w:rPr>
      </w:pPr>
    </w:p>
    <w:p w14:paraId="64316889" w14:textId="77777777" w:rsidR="00990A72" w:rsidRDefault="00990A72" w:rsidP="00F22ADF">
      <w:pPr>
        <w:spacing w:after="0" w:line="360" w:lineRule="auto"/>
        <w:ind w:firstLine="709"/>
        <w:jc w:val="center"/>
        <w:rPr>
          <w:rFonts w:ascii="Times New Roman" w:hAnsi="Times New Roman"/>
          <w:b/>
          <w:sz w:val="28"/>
          <w:szCs w:val="28"/>
          <w:lang w:val="uk-UA"/>
        </w:rPr>
      </w:pPr>
    </w:p>
    <w:p w14:paraId="74DD8B52" w14:textId="34ACCC96" w:rsidR="00F22ADF" w:rsidRPr="00993978" w:rsidRDefault="00F22ADF" w:rsidP="00F22ADF">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РОЗДІЛ ІІІ. ЕМПІРИЧНЕ ДОСЛІДЖЕННЯ ЯКОСТІ ЦИФРОВИХ СОЦІАЛЬНИХ ПОСЛУГ</w:t>
      </w:r>
    </w:p>
    <w:p w14:paraId="7236CE9C"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3BA12065"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3.1. </w:t>
      </w:r>
      <w:r>
        <w:rPr>
          <w:rFonts w:ascii="Times New Roman" w:hAnsi="Times New Roman"/>
          <w:b/>
          <w:sz w:val="28"/>
          <w:szCs w:val="28"/>
          <w:lang w:val="uk-UA"/>
        </w:rPr>
        <w:tab/>
        <w:t>Методологія та інструментарій дослідження рівня задоволеності користувачів цифровими консультаціями</w:t>
      </w:r>
    </w:p>
    <w:p w14:paraId="2F64A7EC"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438ACB6C" w14:textId="3C202D75"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Емпіричне дослідження, представлене у третьому розділі кваліфікаційної роботи, спрямоване на вивчення рівня задоволеності отримувачів соціальних послуг якістю цифрових консультаційних практик, а також на виявлення ключових бар'єрів і можливостей для їх вдосконалення. Дослідження проводилося у 2024 році на базі соціальних служб м. Ізмаїл та Ізмаїльського району Одеської області.</w:t>
      </w:r>
    </w:p>
    <w:p w14:paraId="3EAABB09"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Мета дослідження</w:t>
      </w:r>
      <w:r>
        <w:rPr>
          <w:rFonts w:ascii="Times New Roman" w:eastAsia="Times New Roman" w:hAnsi="Times New Roman"/>
          <w:sz w:val="28"/>
          <w:szCs w:val="28"/>
          <w:lang w:val="uk-UA" w:eastAsia="ru-RU"/>
        </w:rPr>
        <w:t xml:space="preserve"> – емпірично оцінити рівень якості цифрових консультаційних практик у системі соціальної роботи з позицій їх отримувачів та надавачів, а також визначити ключові напрями вдосконалення цього виду послуг.</w:t>
      </w:r>
    </w:p>
    <w:p w14:paraId="36D62914"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Завдання дослідження:</w:t>
      </w:r>
    </w:p>
    <w:p w14:paraId="50F2B1D1"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з'ясувати рівень охоплення та регулярності використання цифрових консультацій різними категоріями отримувачів соціальних послуг;</w:t>
      </w:r>
    </w:p>
    <w:p w14:paraId="099C78B2"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 оцінити рівень задоволеності користувачів якістю цифрових консультацій за ключовими критеріями;</w:t>
      </w:r>
    </w:p>
    <w:p w14:paraId="52CEE901"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 виявити основні бар'єри доступу до цифрових соціальних консультацій для різних груп населення;</w:t>
      </w:r>
    </w:p>
    <w:p w14:paraId="66CDA8DF"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 дослідити ставлення соціальних працівників до цифрових форм консультування та виявити прогалини в їх цифровій компетентності;</w:t>
      </w:r>
    </w:p>
    <w:p w14:paraId="7AD46739"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 визначити пріоритетні напрями вдосконалення цифрових консультаційних практик на основі результатів дослідження.</w:t>
      </w:r>
    </w:p>
    <w:p w14:paraId="4188EB58"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Об'єкт дослідження</w:t>
      </w:r>
      <w:r>
        <w:rPr>
          <w:rFonts w:ascii="Times New Roman" w:eastAsia="Times New Roman" w:hAnsi="Times New Roman"/>
          <w:sz w:val="28"/>
          <w:szCs w:val="28"/>
          <w:lang w:val="uk-UA" w:eastAsia="ru-RU"/>
        </w:rPr>
        <w:t xml:space="preserve"> – система надання цифрових соціальних консультацій у соціальних службах Ізмаїльського району Одеської області.</w:t>
      </w:r>
    </w:p>
    <w:p w14:paraId="3CB96FB4"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Предмет дослідження</w:t>
      </w:r>
      <w:r>
        <w:rPr>
          <w:rFonts w:ascii="Times New Roman" w:eastAsia="Times New Roman" w:hAnsi="Times New Roman"/>
          <w:sz w:val="28"/>
          <w:szCs w:val="28"/>
          <w:lang w:val="uk-UA" w:eastAsia="ru-RU"/>
        </w:rPr>
        <w:t xml:space="preserve"> – рівень задоволеності отримувачів та надавачів соціальних послуг якістю цифрових консультаційних практик.</w:t>
      </w:r>
    </w:p>
    <w:p w14:paraId="30FF12F9"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Методологічна основа дослідження.</w:t>
      </w:r>
      <w:r>
        <w:rPr>
          <w:rFonts w:ascii="Times New Roman" w:eastAsia="Times New Roman" w:hAnsi="Times New Roman"/>
          <w:sz w:val="28"/>
          <w:szCs w:val="28"/>
          <w:lang w:val="uk-UA" w:eastAsia="ru-RU"/>
        </w:rPr>
        <w:t xml:space="preserve"> Дослідження ґрунтується на поєднанні кількісного та якісного підходів (змішана методологія, mixed methods research), що забезпечує як статистично значущу картину розподілу думок генеральної сукупності, так і глибоке розуміння контекстуальних чинників та суб'єктивних переживань учасників. Теоретичним підґрунтям обрано клієнтоцентричний підхід до оцінювання якості соціальних послуг (Семигіна Т. В.) та адаптовану модель SERVQUAL (Парасураман та ін.) [Семигіна, 2020; Parasuraman, 1988].</w:t>
      </w:r>
    </w:p>
    <w:p w14:paraId="4487B858" w14:textId="77777777" w:rsidR="00BE67EE" w:rsidRPr="00993978" w:rsidRDefault="00BE67EE" w:rsidP="00BE67EE">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Методи збору даних:</w:t>
      </w:r>
    </w:p>
    <w:p w14:paraId="25B7D24D" w14:textId="77777777" w:rsidR="00BE67EE" w:rsidRPr="00993978" w:rsidRDefault="00BE67EE" w:rsidP="00BE67EE">
      <w:pPr>
        <w:spacing w:after="6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**Анкетне опитування отримувачів соціальних послуг** (Анкета А) – основний метод кількісного виміру задоволеності, охоплення та виявлення бар'єрів (Додаток А);</w:t>
      </w:r>
    </w:p>
    <w:p w14:paraId="180B8EA5" w14:textId="77777777" w:rsidR="00BE67EE" w:rsidRPr="00993978" w:rsidRDefault="00BE67EE" w:rsidP="00BE67EE">
      <w:pPr>
        <w:spacing w:after="6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 **Анкетне опитування соціальних працівників** (Анкета Б) – для оцінки компетентності персоналу та інституційних умов надання цифрових послуг (Додаток Б);</w:t>
      </w:r>
    </w:p>
    <w:p w14:paraId="0E6C0C0A" w14:textId="77777777" w:rsidR="00BE67EE" w:rsidRPr="00993978" w:rsidRDefault="00BE67EE" w:rsidP="00BE67EE">
      <w:pPr>
        <w:spacing w:after="6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 **Структуроване інтерв'ю** з керівниками соціальних служб (n=4) – для отримання інституційної перспективи та контекстуальних пояснень (гайд інтерв'ю – Додаток В).</w:t>
      </w:r>
    </w:p>
    <w:p w14:paraId="621682AB"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Вибіркова сукупність та процедура відбору.</w:t>
      </w:r>
      <w:r>
        <w:rPr>
          <w:rFonts w:ascii="Times New Roman" w:eastAsia="Times New Roman" w:hAnsi="Times New Roman"/>
          <w:sz w:val="28"/>
          <w:szCs w:val="28"/>
          <w:lang w:val="uk-UA" w:eastAsia="ru-RU"/>
        </w:rPr>
        <w:t xml:space="preserve"> Дослідження охопило дві групи учасників. </w:t>
      </w:r>
      <w:r>
        <w:rPr>
          <w:rFonts w:ascii="Times New Roman" w:eastAsia="Times New Roman" w:hAnsi="Times New Roman"/>
          <w:bCs/>
          <w:sz w:val="28"/>
          <w:szCs w:val="28"/>
          <w:lang w:val="uk-UA" w:eastAsia="ru-RU"/>
        </w:rPr>
        <w:t>Група 1 – отримувачі соціальних послуг</w:t>
      </w:r>
      <w:r>
        <w:rPr>
          <w:rFonts w:ascii="Times New Roman" w:eastAsia="Times New Roman" w:hAnsi="Times New Roman"/>
          <w:sz w:val="28"/>
          <w:szCs w:val="28"/>
          <w:lang w:val="uk-UA" w:eastAsia="ru-RU"/>
        </w:rPr>
        <w:t xml:space="preserve"> (n=120): відбір здійснювався методом стратифікованої вибірки із забезпеченням репрезентативності за категоріями (ВПО, особи з інвалідністю, люди похилого віку, малозабезпечені сім'ї, ветерани та члени їх родин). </w:t>
      </w:r>
      <w:r>
        <w:rPr>
          <w:rFonts w:ascii="Times New Roman" w:eastAsia="Times New Roman" w:hAnsi="Times New Roman"/>
          <w:bCs/>
          <w:sz w:val="28"/>
          <w:szCs w:val="28"/>
          <w:lang w:val="uk-UA" w:eastAsia="ru-RU"/>
        </w:rPr>
        <w:t>Група 2 – соціальні працівники</w:t>
      </w:r>
      <w:r>
        <w:rPr>
          <w:rFonts w:ascii="Times New Roman" w:eastAsia="Times New Roman" w:hAnsi="Times New Roman"/>
          <w:sz w:val="28"/>
          <w:szCs w:val="28"/>
          <w:lang w:val="uk-UA" w:eastAsia="ru-RU"/>
        </w:rPr>
        <w:t xml:space="preserve"> (n=32): суцільне опитування фахівців соціальних служб, що надають консультативні послуги в Ізмаїльському районі.</w:t>
      </w:r>
    </w:p>
    <w:p w14:paraId="149FCC51" w14:textId="77777777" w:rsidR="00AC10CF" w:rsidRDefault="00AC10CF" w:rsidP="00BE67EE">
      <w:pPr>
        <w:spacing w:after="0" w:line="360" w:lineRule="auto"/>
        <w:jc w:val="right"/>
        <w:rPr>
          <w:rFonts w:ascii="Times New Roman" w:eastAsia="Times New Roman" w:hAnsi="Times New Roman"/>
          <w:b/>
          <w:bCs/>
          <w:iCs/>
          <w:sz w:val="26"/>
          <w:szCs w:val="26"/>
          <w:lang w:val="uk-UA" w:eastAsia="ru-RU"/>
        </w:rPr>
      </w:pPr>
    </w:p>
    <w:p w14:paraId="516DEC02" w14:textId="77777777" w:rsidR="00AC10CF" w:rsidRDefault="00AC10CF" w:rsidP="00BE67EE">
      <w:pPr>
        <w:spacing w:after="0" w:line="360" w:lineRule="auto"/>
        <w:jc w:val="right"/>
        <w:rPr>
          <w:rFonts w:ascii="Times New Roman" w:eastAsia="Times New Roman" w:hAnsi="Times New Roman"/>
          <w:b/>
          <w:bCs/>
          <w:iCs/>
          <w:sz w:val="26"/>
          <w:szCs w:val="26"/>
          <w:lang w:val="uk-UA" w:eastAsia="ru-RU"/>
        </w:rPr>
      </w:pPr>
    </w:p>
    <w:p w14:paraId="0103E57E" w14:textId="77777777" w:rsidR="00AC10CF" w:rsidRDefault="00AC10CF" w:rsidP="00BE67EE">
      <w:pPr>
        <w:spacing w:after="0" w:line="360" w:lineRule="auto"/>
        <w:jc w:val="right"/>
        <w:rPr>
          <w:rFonts w:ascii="Times New Roman" w:eastAsia="Times New Roman" w:hAnsi="Times New Roman"/>
          <w:b/>
          <w:bCs/>
          <w:iCs/>
          <w:sz w:val="26"/>
          <w:szCs w:val="26"/>
          <w:lang w:val="uk-UA" w:eastAsia="ru-RU"/>
        </w:rPr>
      </w:pPr>
    </w:p>
    <w:p w14:paraId="0D87C14F" w14:textId="77777777" w:rsidR="00BE67EE" w:rsidRPr="00993978" w:rsidRDefault="00BE67EE" w:rsidP="00BE67EE">
      <w:pPr>
        <w:spacing w:after="0" w:line="360" w:lineRule="auto"/>
        <w:jc w:val="right"/>
        <w:rPr>
          <w:rFonts w:ascii="Times New Roman" w:eastAsia="Times New Roman" w:hAnsi="Times New Roman"/>
          <w:b/>
          <w:bCs/>
          <w:iCs/>
          <w:sz w:val="26"/>
          <w:szCs w:val="26"/>
          <w:lang w:val="uk-UA" w:eastAsia="ru-RU"/>
        </w:rPr>
      </w:pPr>
      <w:r>
        <w:rPr>
          <w:rFonts w:ascii="Times New Roman" w:eastAsia="Times New Roman" w:hAnsi="Times New Roman"/>
          <w:b/>
          <w:bCs/>
          <w:iCs/>
          <w:sz w:val="26"/>
          <w:szCs w:val="26"/>
          <w:lang w:val="uk-UA" w:eastAsia="ru-RU"/>
        </w:rPr>
        <w:t xml:space="preserve">Таблиця 3.1. </w:t>
      </w:r>
    </w:p>
    <w:p w14:paraId="2C0F9F76" w14:textId="77777777" w:rsidR="00BE67EE" w:rsidRPr="00993978" w:rsidRDefault="00BE67EE" w:rsidP="00BE67EE">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iCs/>
          <w:sz w:val="26"/>
          <w:szCs w:val="26"/>
          <w:lang w:val="uk-UA" w:eastAsia="ru-RU"/>
        </w:rPr>
        <w:t>Структура вибіркової сукупності дослідження (отримувачі послуг, n=120)</w:t>
      </w:r>
    </w:p>
    <w:tbl>
      <w:tblPr>
        <w:tblStyle w:val="aa"/>
        <w:tblW w:w="9026" w:type="dxa"/>
        <w:tblLook w:val="0000" w:firstRow="0" w:lastRow="0" w:firstColumn="0" w:lastColumn="0" w:noHBand="0" w:noVBand="0"/>
      </w:tblPr>
      <w:tblGrid>
        <w:gridCol w:w="3200"/>
        <w:gridCol w:w="1600"/>
        <w:gridCol w:w="1626"/>
        <w:gridCol w:w="2600"/>
      </w:tblGrid>
      <w:tr w:rsidR="00BE67EE" w:rsidRPr="00993978" w14:paraId="43A43263" w14:textId="77777777" w:rsidTr="00990A72">
        <w:tc>
          <w:tcPr>
            <w:tcW w:w="3200" w:type="dxa"/>
          </w:tcPr>
          <w:p w14:paraId="6E6533D7" w14:textId="77777777" w:rsidR="00BE67EE" w:rsidRPr="00993978" w:rsidRDefault="00BE67EE" w:rsidP="00104637">
            <w:pPr>
              <w:jc w:val="center"/>
              <w:rPr>
                <w:rFonts w:ascii="Times New Roman" w:eastAsia="Times New Roman" w:hAnsi="Times New Roman"/>
                <w:lang w:val="uk-UA"/>
              </w:rPr>
            </w:pPr>
            <w:r>
              <w:rPr>
                <w:rFonts w:ascii="Times New Roman" w:eastAsia="Times New Roman" w:hAnsi="Times New Roman"/>
                <w:b/>
                <w:bCs/>
                <w:lang w:val="uk-UA"/>
              </w:rPr>
              <w:t>Категорія отримувача</w:t>
            </w:r>
          </w:p>
        </w:tc>
        <w:tc>
          <w:tcPr>
            <w:tcW w:w="1600" w:type="dxa"/>
          </w:tcPr>
          <w:p w14:paraId="3B82A99E" w14:textId="77777777" w:rsidR="00BE67EE" w:rsidRPr="00993978" w:rsidRDefault="00BE67EE" w:rsidP="00104637">
            <w:pPr>
              <w:jc w:val="center"/>
              <w:rPr>
                <w:rFonts w:ascii="Times New Roman" w:eastAsia="Times New Roman" w:hAnsi="Times New Roman"/>
                <w:lang w:val="uk-UA"/>
              </w:rPr>
            </w:pPr>
            <w:r>
              <w:rPr>
                <w:rFonts w:ascii="Times New Roman" w:eastAsia="Times New Roman" w:hAnsi="Times New Roman"/>
                <w:b/>
                <w:bCs/>
                <w:lang w:val="uk-UA"/>
              </w:rPr>
              <w:t>К-сть (осіб)</w:t>
            </w:r>
          </w:p>
        </w:tc>
        <w:tc>
          <w:tcPr>
            <w:tcW w:w="1626" w:type="dxa"/>
          </w:tcPr>
          <w:p w14:paraId="1EB1E0DA" w14:textId="77777777" w:rsidR="00BE67EE" w:rsidRPr="00993978" w:rsidRDefault="00BE67EE" w:rsidP="00104637">
            <w:pPr>
              <w:jc w:val="center"/>
              <w:rPr>
                <w:rFonts w:ascii="Times New Roman" w:eastAsia="Times New Roman" w:hAnsi="Times New Roman"/>
                <w:lang w:val="uk-UA"/>
              </w:rPr>
            </w:pPr>
            <w:r>
              <w:rPr>
                <w:rFonts w:ascii="Times New Roman" w:eastAsia="Times New Roman" w:hAnsi="Times New Roman"/>
                <w:b/>
                <w:bCs/>
                <w:lang w:val="uk-UA"/>
              </w:rPr>
              <w:t>Частка (%)</w:t>
            </w:r>
          </w:p>
        </w:tc>
        <w:tc>
          <w:tcPr>
            <w:tcW w:w="2600" w:type="dxa"/>
          </w:tcPr>
          <w:p w14:paraId="290BC57E" w14:textId="77777777" w:rsidR="00BE67EE" w:rsidRPr="00993978" w:rsidRDefault="00BE67EE" w:rsidP="00104637">
            <w:pPr>
              <w:jc w:val="center"/>
              <w:rPr>
                <w:rFonts w:ascii="Times New Roman" w:eastAsia="Times New Roman" w:hAnsi="Times New Roman"/>
                <w:lang w:val="uk-UA"/>
              </w:rPr>
            </w:pPr>
            <w:r>
              <w:rPr>
                <w:rFonts w:ascii="Times New Roman" w:eastAsia="Times New Roman" w:hAnsi="Times New Roman"/>
                <w:b/>
                <w:bCs/>
                <w:lang w:val="uk-UA"/>
              </w:rPr>
              <w:t>Спосіб залучення</w:t>
            </w:r>
          </w:p>
        </w:tc>
      </w:tr>
      <w:tr w:rsidR="00BE67EE" w:rsidRPr="00993978" w14:paraId="18A0B51A" w14:textId="77777777" w:rsidTr="00990A72">
        <w:tc>
          <w:tcPr>
            <w:tcW w:w="3200" w:type="dxa"/>
          </w:tcPr>
          <w:p w14:paraId="0D2DE1F9"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Внутрішньо переміщені особи (ВПО)</w:t>
            </w:r>
          </w:p>
        </w:tc>
        <w:tc>
          <w:tcPr>
            <w:tcW w:w="1600" w:type="dxa"/>
          </w:tcPr>
          <w:p w14:paraId="3442D76A"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34</w:t>
            </w:r>
          </w:p>
        </w:tc>
        <w:tc>
          <w:tcPr>
            <w:tcW w:w="1626" w:type="dxa"/>
          </w:tcPr>
          <w:p w14:paraId="034EBBB4"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28,3</w:t>
            </w:r>
          </w:p>
        </w:tc>
        <w:tc>
          <w:tcPr>
            <w:tcW w:w="2600" w:type="dxa"/>
          </w:tcPr>
          <w:p w14:paraId="7E8392B9"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Центри надання соц. послуг для ВПО</w:t>
            </w:r>
          </w:p>
        </w:tc>
      </w:tr>
      <w:tr w:rsidR="00BE67EE" w:rsidRPr="00993978" w14:paraId="294A0B9B" w14:textId="77777777" w:rsidTr="00990A72">
        <w:tc>
          <w:tcPr>
            <w:tcW w:w="3200" w:type="dxa"/>
          </w:tcPr>
          <w:p w14:paraId="68507498"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Малозабезпечені сім'ї / сім'ї у СЖО</w:t>
            </w:r>
          </w:p>
        </w:tc>
        <w:tc>
          <w:tcPr>
            <w:tcW w:w="1600" w:type="dxa"/>
          </w:tcPr>
          <w:p w14:paraId="7195D65D"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26</w:t>
            </w:r>
          </w:p>
        </w:tc>
        <w:tc>
          <w:tcPr>
            <w:tcW w:w="1626" w:type="dxa"/>
          </w:tcPr>
          <w:p w14:paraId="1C4DA440"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21,7</w:t>
            </w:r>
          </w:p>
        </w:tc>
        <w:tc>
          <w:tcPr>
            <w:tcW w:w="2600" w:type="dxa"/>
          </w:tcPr>
          <w:p w14:paraId="69A2E578"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Центри соціальних служб для сім'ї</w:t>
            </w:r>
          </w:p>
        </w:tc>
      </w:tr>
      <w:tr w:rsidR="00BE67EE" w:rsidRPr="00993978" w14:paraId="059F7651" w14:textId="77777777" w:rsidTr="00990A72">
        <w:tc>
          <w:tcPr>
            <w:tcW w:w="3200" w:type="dxa"/>
          </w:tcPr>
          <w:p w14:paraId="18ABF913"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Особи похилого віку (60+ років)</w:t>
            </w:r>
          </w:p>
        </w:tc>
        <w:tc>
          <w:tcPr>
            <w:tcW w:w="1600" w:type="dxa"/>
          </w:tcPr>
          <w:p w14:paraId="187F177C"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22</w:t>
            </w:r>
          </w:p>
        </w:tc>
        <w:tc>
          <w:tcPr>
            <w:tcW w:w="1626" w:type="dxa"/>
          </w:tcPr>
          <w:p w14:paraId="5EB4B1C2"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18,3</w:t>
            </w:r>
          </w:p>
        </w:tc>
        <w:tc>
          <w:tcPr>
            <w:tcW w:w="2600" w:type="dxa"/>
          </w:tcPr>
          <w:p w14:paraId="551444C7"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Геріатричний центр, ТЦСО</w:t>
            </w:r>
          </w:p>
        </w:tc>
      </w:tr>
      <w:tr w:rsidR="00BE67EE" w:rsidRPr="00993978" w14:paraId="4BDA48CA" w14:textId="77777777" w:rsidTr="00990A72">
        <w:tc>
          <w:tcPr>
            <w:tcW w:w="3200" w:type="dxa"/>
          </w:tcPr>
          <w:p w14:paraId="518AA3BE"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Ветерани та члени їх родин</w:t>
            </w:r>
          </w:p>
        </w:tc>
        <w:tc>
          <w:tcPr>
            <w:tcW w:w="1600" w:type="dxa"/>
          </w:tcPr>
          <w:p w14:paraId="4EB89134"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20</w:t>
            </w:r>
          </w:p>
        </w:tc>
        <w:tc>
          <w:tcPr>
            <w:tcW w:w="1626" w:type="dxa"/>
          </w:tcPr>
          <w:p w14:paraId="19A76849"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16,7</w:t>
            </w:r>
          </w:p>
        </w:tc>
        <w:tc>
          <w:tcPr>
            <w:tcW w:w="2600" w:type="dxa"/>
          </w:tcPr>
          <w:p w14:paraId="46587DAE"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Центр ветеранів, ЦНАПи</w:t>
            </w:r>
          </w:p>
        </w:tc>
      </w:tr>
      <w:tr w:rsidR="00BE67EE" w:rsidRPr="00993978" w14:paraId="28D0E89A" w14:textId="77777777" w:rsidTr="00990A72">
        <w:tc>
          <w:tcPr>
            <w:tcW w:w="3200" w:type="dxa"/>
          </w:tcPr>
          <w:p w14:paraId="1027394A"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Особи з інвалідністю</w:t>
            </w:r>
          </w:p>
        </w:tc>
        <w:tc>
          <w:tcPr>
            <w:tcW w:w="1600" w:type="dxa"/>
          </w:tcPr>
          <w:p w14:paraId="4BCD7F6F"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18</w:t>
            </w:r>
          </w:p>
        </w:tc>
        <w:tc>
          <w:tcPr>
            <w:tcW w:w="1626" w:type="dxa"/>
          </w:tcPr>
          <w:p w14:paraId="259E9DF7"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lang w:val="uk-UA"/>
              </w:rPr>
              <w:t>15,0</w:t>
            </w:r>
          </w:p>
        </w:tc>
        <w:tc>
          <w:tcPr>
            <w:tcW w:w="2600" w:type="dxa"/>
          </w:tcPr>
          <w:p w14:paraId="511EE200"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Реабілітаційний центр, ДСНП</w:t>
            </w:r>
          </w:p>
        </w:tc>
      </w:tr>
      <w:tr w:rsidR="00BE67EE" w:rsidRPr="00993978" w14:paraId="6F5CCCF9" w14:textId="77777777" w:rsidTr="00990A72">
        <w:tc>
          <w:tcPr>
            <w:tcW w:w="3200" w:type="dxa"/>
          </w:tcPr>
          <w:p w14:paraId="7178242C" w14:textId="77777777" w:rsidR="00BE67EE" w:rsidRPr="00993978" w:rsidRDefault="00BE67EE" w:rsidP="00104637">
            <w:pPr>
              <w:spacing w:line="360" w:lineRule="auto"/>
              <w:jc w:val="both"/>
              <w:rPr>
                <w:rFonts w:ascii="Times New Roman" w:eastAsia="Times New Roman" w:hAnsi="Times New Roman"/>
                <w:lang w:val="uk-UA"/>
              </w:rPr>
            </w:pPr>
            <w:r>
              <w:rPr>
                <w:rFonts w:ascii="Times New Roman" w:eastAsia="Times New Roman" w:hAnsi="Times New Roman"/>
                <w:lang w:val="uk-UA"/>
              </w:rPr>
              <w:t>Разом</w:t>
            </w:r>
          </w:p>
        </w:tc>
        <w:tc>
          <w:tcPr>
            <w:tcW w:w="1600" w:type="dxa"/>
          </w:tcPr>
          <w:p w14:paraId="2910B016"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b/>
                <w:bCs/>
                <w:lang w:val="uk-UA"/>
              </w:rPr>
              <w:t>120</w:t>
            </w:r>
          </w:p>
        </w:tc>
        <w:tc>
          <w:tcPr>
            <w:tcW w:w="1626" w:type="dxa"/>
          </w:tcPr>
          <w:p w14:paraId="003FF877" w14:textId="77777777" w:rsidR="00BE67EE" w:rsidRPr="00993978" w:rsidRDefault="00BE67EE" w:rsidP="00104637">
            <w:pPr>
              <w:spacing w:line="360" w:lineRule="auto"/>
              <w:jc w:val="center"/>
              <w:rPr>
                <w:rFonts w:ascii="Times New Roman" w:eastAsia="Times New Roman" w:hAnsi="Times New Roman"/>
                <w:lang w:val="uk-UA"/>
              </w:rPr>
            </w:pPr>
            <w:r>
              <w:rPr>
                <w:rFonts w:ascii="Times New Roman" w:eastAsia="Times New Roman" w:hAnsi="Times New Roman"/>
                <w:b/>
                <w:bCs/>
                <w:lang w:val="uk-UA"/>
              </w:rPr>
              <w:t>100,0</w:t>
            </w:r>
          </w:p>
        </w:tc>
        <w:tc>
          <w:tcPr>
            <w:tcW w:w="2600" w:type="dxa"/>
          </w:tcPr>
          <w:p w14:paraId="312B90BF" w14:textId="77777777" w:rsidR="00BE67EE" w:rsidRPr="00993978" w:rsidRDefault="00BE67EE" w:rsidP="00104637">
            <w:pPr>
              <w:spacing w:line="360" w:lineRule="auto"/>
              <w:jc w:val="both"/>
              <w:rPr>
                <w:rFonts w:ascii="Times New Roman" w:eastAsia="Times New Roman" w:hAnsi="Times New Roman"/>
                <w:lang w:val="uk-UA"/>
              </w:rPr>
            </w:pPr>
          </w:p>
        </w:tc>
      </w:tr>
    </w:tbl>
    <w:p w14:paraId="56304FA9" w14:textId="77777777" w:rsidR="00BE67EE" w:rsidRPr="00993978" w:rsidRDefault="00BE67EE" w:rsidP="00BE67EE">
      <w:pPr>
        <w:spacing w:after="100" w:line="360" w:lineRule="auto"/>
        <w:jc w:val="both"/>
        <w:rPr>
          <w:rFonts w:ascii="Times New Roman" w:eastAsia="Times New Roman" w:hAnsi="Times New Roman"/>
          <w:sz w:val="28"/>
          <w:szCs w:val="28"/>
          <w:lang w:val="uk-UA" w:eastAsia="ru-RU"/>
        </w:rPr>
      </w:pPr>
    </w:p>
    <w:p w14:paraId="166CF31E"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Процедура проведення дослідження.</w:t>
      </w:r>
      <w:r>
        <w:rPr>
          <w:rFonts w:ascii="Times New Roman" w:eastAsia="Times New Roman" w:hAnsi="Times New Roman"/>
          <w:sz w:val="28"/>
          <w:szCs w:val="28"/>
          <w:lang w:val="uk-UA" w:eastAsia="ru-RU"/>
        </w:rPr>
        <w:t xml:space="preserve"> Анкетування отримувачів послуг проводилося у два етапи: очно – у приміщеннях соціальних служб під час очних відвідувань (n=72, 60%) та дистанційно – через Google Forms із посиланнями, надісланими через месенджери відповідними соціальними службами (n=48, 40%). Такий підхід дозволив охопити як тих, хто вже має досвід цифрового звернення, так і тих, хто переважно користується очними послугами. Анкетування соціальних працівників проводилося виключно дистанційно. Збір даних тривав протягом 4 тижнів (вересень–жовтень 2024 р.).</w:t>
      </w:r>
    </w:p>
    <w:p w14:paraId="6CB78EE0"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Валідність та надійність інструментарію.</w:t>
      </w:r>
      <w:r>
        <w:rPr>
          <w:rFonts w:ascii="Times New Roman" w:eastAsia="Times New Roman" w:hAnsi="Times New Roman"/>
          <w:sz w:val="28"/>
          <w:szCs w:val="28"/>
          <w:lang w:val="uk-UA" w:eastAsia="ru-RU"/>
        </w:rPr>
        <w:t xml:space="preserve"> Анкети були попередньо апробовані на пілотній вибірці (n=15 отримувачів, n=5 фахівців). За результатами пілотування до формулювань окремих питань було внесено уточнення для покращення їхньої зрозумілості. Коефіцієнт альфа Кронбаха для шкали задоволеності якістю послуг (10 тверджень Анкети А) склав α=0,81, що свідчить про високу внутрішню узгодженість шкали [Гайович, 2022].</w:t>
      </w:r>
    </w:p>
    <w:p w14:paraId="58F1246E"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Етичні аспекти дослідження.</w:t>
      </w:r>
      <w:r>
        <w:rPr>
          <w:rFonts w:ascii="Times New Roman" w:eastAsia="Times New Roman" w:hAnsi="Times New Roman"/>
          <w:sz w:val="28"/>
          <w:szCs w:val="28"/>
          <w:lang w:val="uk-UA" w:eastAsia="ru-RU"/>
        </w:rPr>
        <w:t xml:space="preserve"> Участь у дослідженні була добровільною та анонімною. Усі учасники отримали усне та письмове інформування про мету дослідження, порядок використання даних та право відмовитися від участі в будь-який момент. Персональні дані не збиралися; анкети містили лише соціально-демографічні характеристики (вік, стать, категорія отримувача). Дослідження відповідало вимогам Кодексу етики соціального працівника України [Єресько, 2022].</w:t>
      </w:r>
    </w:p>
    <w:p w14:paraId="360F6FF2"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Методи аналізу даних.</w:t>
      </w:r>
      <w:r>
        <w:rPr>
          <w:rFonts w:ascii="Times New Roman" w:eastAsia="Times New Roman" w:hAnsi="Times New Roman"/>
          <w:sz w:val="28"/>
          <w:szCs w:val="28"/>
          <w:lang w:val="uk-UA" w:eastAsia="ru-RU"/>
        </w:rPr>
        <w:t xml:space="preserve"> Кількісні дані опрацьовані за допомогою методів описової статистики (частоти, відсотки, середні значення, стандартне відхилення) та кореляційного аналізу (коефіцієнт Спірмена). Якісні дані (відкриті відповіді, матеріали інтерв'ю) оброблялися методом тематичного аналізу (thematic analysis за В. Брауном та В. Кларком). Для візуалізації результатів використовувалися діаграми та таблиці [Зайченко, 2021].</w:t>
      </w:r>
    </w:p>
    <w:p w14:paraId="0946648B"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6C8BE2DD"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3.2.   Результати соціологічного дослідження щодо якості цифрових соціальних послуг</w:t>
      </w:r>
    </w:p>
    <w:p w14:paraId="4D8B253B"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6E202677" w14:textId="65E0C229"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Цей підрозділ містить аналіз результатів дослідження в розрізі трьох блоків: 1) характеристика досвіду використання цифрових консультацій; 2) оцінка якості цифрових консультацій за ключовими критеріями; 3) бар'єри доступу та ставлення персоналу до цифрових форм роботи.</w:t>
      </w:r>
    </w:p>
    <w:p w14:paraId="6270A1DC"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Блок 1. Досвід використання цифрових консультацій.</w:t>
      </w:r>
    </w:p>
    <w:p w14:paraId="15FE4DDD" w14:textId="7077F34F" w:rsidR="00BE67EE" w:rsidRPr="00993978" w:rsidRDefault="00BE67EE" w:rsidP="00990A72">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першому етапі аналізу встановлювалося, наскільки поширеним є досвід звернення до соціальних служб у цифровому форматі серед різних категорій отримувачів. Результати засвідчили, що переважна більшість респондентів (74%) мала хоча б один досвід цифрового звернення до соціальної служби протягом останніх 12 місяців. При цьому найпоширенішим каналом виявилися месенджери (Viber, Telegram) – 63% від тих, хто має досвід цифрового звернення, тоді як відеоконсультації (Zoom, Google Meet) використовували лише 22%, а звернення через офіційні портали та електронну пошту – 15%.</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226"/>
        <w:gridCol w:w="800"/>
      </w:tblGrid>
      <w:tr w:rsidR="00BE67EE" w:rsidRPr="00993978" w14:paraId="18F8F879" w14:textId="77777777" w:rsidTr="00990A72">
        <w:tc>
          <w:tcPr>
            <w:tcW w:w="30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57FDE210" w14:textId="77777777" w:rsidR="00BE67EE" w:rsidRPr="00990A72"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Показник</w:t>
            </w:r>
          </w:p>
        </w:tc>
        <w:tc>
          <w:tcPr>
            <w:tcW w:w="5226"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41D6644B" w14:textId="77777777" w:rsidR="00BE67EE" w:rsidRPr="00990A72"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Розподіл відповідей</w:t>
            </w:r>
          </w:p>
        </w:tc>
        <w:tc>
          <w:tcPr>
            <w:tcW w:w="8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58D25AF9" w14:textId="77777777" w:rsidR="00BE67EE" w:rsidRPr="00990A72"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w:t>
            </w:r>
          </w:p>
        </w:tc>
      </w:tr>
      <w:tr w:rsidR="00BE67EE" w:rsidRPr="00993978" w14:paraId="2FDF0F7D" w14:textId="77777777" w:rsidTr="00990A72">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260F0A8"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Месенджери (Viber, Telegram)</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7BFD276F"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9DEB553"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63%</w:t>
            </w:r>
          </w:p>
        </w:tc>
      </w:tr>
      <w:tr w:rsidR="00BE67EE" w:rsidRPr="00993978" w14:paraId="2F4AF435" w14:textId="77777777" w:rsidTr="00990A72">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1B61FC30"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Відеоконсультація (Zoom, Meet)</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191485BF"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435BAEBA"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22%</w:t>
            </w:r>
          </w:p>
        </w:tc>
      </w:tr>
      <w:tr w:rsidR="00BE67EE" w:rsidRPr="00993978" w14:paraId="04AADA0A" w14:textId="77777777" w:rsidTr="00990A72">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6987588A"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Офіційний портал / веб-форма</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085C8452"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604CFDA0"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15%</w:t>
            </w:r>
          </w:p>
        </w:tc>
      </w:tr>
      <w:tr w:rsidR="00BE67EE" w:rsidRPr="00993978" w14:paraId="6FE66085" w14:textId="77777777" w:rsidTr="00990A72">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97B6F3A"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Електронна пошта</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7F66C362"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462731A"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11%</w:t>
            </w:r>
          </w:p>
        </w:tc>
      </w:tr>
      <w:tr w:rsidR="00BE67EE" w:rsidRPr="00993978" w14:paraId="511700F9" w14:textId="77777777" w:rsidTr="00990A72">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7411B15E"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Чат-бот соціальної служби</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65CE6872"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A89BCA6"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8%</w:t>
            </w:r>
          </w:p>
        </w:tc>
      </w:tr>
    </w:tbl>
    <w:p w14:paraId="7A8D3409" w14:textId="77777777" w:rsidR="00BE67EE" w:rsidRPr="00993978" w:rsidRDefault="00BE67EE" w:rsidP="00BE67EE">
      <w:pPr>
        <w:spacing w:after="0" w:line="360" w:lineRule="auto"/>
        <w:ind w:firstLine="709"/>
        <w:jc w:val="both"/>
        <w:rPr>
          <w:rFonts w:ascii="Times New Roman" w:eastAsia="Times New Roman" w:hAnsi="Times New Roman"/>
          <w:b/>
          <w:iCs/>
          <w:sz w:val="26"/>
          <w:szCs w:val="26"/>
          <w:lang w:val="uk-UA" w:eastAsia="ru-RU"/>
        </w:rPr>
      </w:pPr>
    </w:p>
    <w:p w14:paraId="16122679" w14:textId="77777777" w:rsidR="00BE67EE" w:rsidRPr="00993978" w:rsidRDefault="00BE67EE" w:rsidP="00BE67EE">
      <w:pPr>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iCs/>
          <w:sz w:val="26"/>
          <w:szCs w:val="26"/>
          <w:lang w:val="uk-UA" w:eastAsia="ru-RU"/>
        </w:rPr>
        <w:t>Рис. 3.1. Використання цифрових каналів звернення до соціальних служб (% від тих, хто має такий досвід, n=89)</w:t>
      </w:r>
    </w:p>
    <w:p w14:paraId="515AA455" w14:textId="77777777" w:rsidR="00BE67EE" w:rsidRPr="00993978" w:rsidRDefault="00BE67EE" w:rsidP="00BE67EE">
      <w:pPr>
        <w:spacing w:after="120" w:line="280" w:lineRule="auto"/>
        <w:ind w:left="300"/>
        <w:jc w:val="both"/>
        <w:rPr>
          <w:rFonts w:ascii="Times New Roman" w:eastAsia="Times New Roman" w:hAnsi="Times New Roman"/>
          <w:sz w:val="28"/>
          <w:szCs w:val="28"/>
          <w:lang w:val="uk-UA" w:eastAsia="ru-RU"/>
        </w:rPr>
      </w:pPr>
      <w:r>
        <w:rPr>
          <w:rFonts w:ascii="Times New Roman" w:eastAsia="Times New Roman" w:hAnsi="Times New Roman"/>
          <w:i/>
          <w:iCs/>
          <w:sz w:val="20"/>
          <w:szCs w:val="20"/>
          <w:lang w:val="uk-UA" w:eastAsia="ru-RU"/>
        </w:rPr>
        <w:t>* Респонденти могли вказати більше одного каналу</w:t>
      </w:r>
    </w:p>
    <w:p w14:paraId="1D5F2972"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Частота звернень у цифровому форматі суттєво диференційована за категоріями: ветерани та ВПО виявилися найактивнішими користувачами цифрових каналів – відповідно 85% і 91% у цих групах мали досвід цифрового звернення. Найнижчі показники зафіксовані серед осіб похилого віку: лише 36% опитаних представників цієї категорії зверталися до соціальних служб у цифровому форматі, з яких переважна більшість – виключно через месенджери, за допомогою родичів або волонтерів.</w:t>
      </w:r>
    </w:p>
    <w:p w14:paraId="66C5C8B6"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Блок 2. Оцінка якості цифрових консультацій.</w:t>
      </w:r>
    </w:p>
    <w:p w14:paraId="4CB1E733" w14:textId="77777777" w:rsidR="00BE67EE"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оцінки якості цифрових консультацій використовувалася розроблена авторська шкала, що включала 10 тверджень, згрупованих у 5 вимірів відповідно до адаптованої моделі SERVQUAL: доступність, оперативність, компетентність фахівця, емпатія та конфіденційність. Відповіді фіксувалися за 5-бальною шкалою Лікерта (1 – «зовсім не задоволений/-а», 5 – «повністю задоволений/-а»). Оцінювалися лише відповіді тих, хто мав досвід цифрового звернення (n=89).</w:t>
      </w:r>
    </w:p>
    <w:p w14:paraId="78E2FACE" w14:textId="77777777" w:rsidR="00BE67EE" w:rsidRPr="00993978" w:rsidRDefault="00BE67EE" w:rsidP="00BE67EE">
      <w:pPr>
        <w:spacing w:after="0" w:line="360" w:lineRule="auto"/>
        <w:jc w:val="right"/>
        <w:rPr>
          <w:rFonts w:ascii="Times New Roman" w:eastAsia="Times New Roman" w:hAnsi="Times New Roman"/>
          <w:b/>
          <w:bCs/>
          <w:iCs/>
          <w:sz w:val="26"/>
          <w:szCs w:val="26"/>
          <w:lang w:val="uk-UA" w:eastAsia="ru-RU"/>
        </w:rPr>
      </w:pPr>
      <w:r>
        <w:rPr>
          <w:rFonts w:ascii="Times New Roman" w:eastAsia="Times New Roman" w:hAnsi="Times New Roman"/>
          <w:b/>
          <w:bCs/>
          <w:iCs/>
          <w:sz w:val="26"/>
          <w:szCs w:val="26"/>
          <w:lang w:val="uk-UA" w:eastAsia="ru-RU"/>
        </w:rPr>
        <w:t xml:space="preserve">Таблиця 3.2. </w:t>
      </w:r>
    </w:p>
    <w:p w14:paraId="36BC9F95" w14:textId="77777777" w:rsidR="00BE67EE" w:rsidRPr="00993978" w:rsidRDefault="00BE67EE" w:rsidP="00BE67EE">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iCs/>
          <w:sz w:val="26"/>
          <w:szCs w:val="26"/>
          <w:lang w:val="uk-UA" w:eastAsia="ru-RU"/>
        </w:rPr>
        <w:t>Середні оцінки якості цифрових консультацій за вимірами (n=89, шкала 1–5)</w:t>
      </w:r>
    </w:p>
    <w:tbl>
      <w:tblPr>
        <w:tblStyle w:val="GridTable1Light"/>
        <w:tblW w:w="9026" w:type="dxa"/>
        <w:tblLook w:val="0000" w:firstRow="0" w:lastRow="0" w:firstColumn="0" w:lastColumn="0" w:noHBand="0" w:noVBand="0"/>
      </w:tblPr>
      <w:tblGrid>
        <w:gridCol w:w="2542"/>
        <w:gridCol w:w="1368"/>
        <w:gridCol w:w="1267"/>
        <w:gridCol w:w="1562"/>
        <w:gridCol w:w="2287"/>
      </w:tblGrid>
      <w:tr w:rsidR="00BE67EE" w:rsidRPr="00993978" w14:paraId="5B700D6B" w14:textId="77777777" w:rsidTr="00195BDA">
        <w:tc>
          <w:tcPr>
            <w:tcW w:w="2600" w:type="dxa"/>
          </w:tcPr>
          <w:p w14:paraId="7D42F383"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Вимір якості</w:t>
            </w:r>
          </w:p>
        </w:tc>
        <w:tc>
          <w:tcPr>
            <w:tcW w:w="1400" w:type="dxa"/>
          </w:tcPr>
          <w:p w14:paraId="0C84E75F"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Середнє (M)</w:t>
            </w:r>
          </w:p>
        </w:tc>
        <w:tc>
          <w:tcPr>
            <w:tcW w:w="1300" w:type="dxa"/>
          </w:tcPr>
          <w:p w14:paraId="61ACE7E0"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Ст. відхил. (SD)</w:t>
            </w:r>
          </w:p>
        </w:tc>
        <w:tc>
          <w:tcPr>
            <w:tcW w:w="1300" w:type="dxa"/>
          </w:tcPr>
          <w:p w14:paraId="41485757"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 задоволених (4–5 балів)</w:t>
            </w:r>
          </w:p>
        </w:tc>
        <w:tc>
          <w:tcPr>
            <w:tcW w:w="2426" w:type="dxa"/>
          </w:tcPr>
          <w:p w14:paraId="0F4B6BB7"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Рейтинг серед вимірів</w:t>
            </w:r>
          </w:p>
        </w:tc>
      </w:tr>
      <w:tr w:rsidR="00BE67EE" w:rsidRPr="00993978" w14:paraId="09B6E648" w14:textId="77777777" w:rsidTr="00195BDA">
        <w:tc>
          <w:tcPr>
            <w:tcW w:w="2600" w:type="dxa"/>
          </w:tcPr>
          <w:p w14:paraId="74BF95B7"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Оперативність реагування</w:t>
            </w:r>
          </w:p>
        </w:tc>
        <w:tc>
          <w:tcPr>
            <w:tcW w:w="1400" w:type="dxa"/>
          </w:tcPr>
          <w:p w14:paraId="74DF7122"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4,1</w:t>
            </w:r>
          </w:p>
        </w:tc>
        <w:tc>
          <w:tcPr>
            <w:tcW w:w="1300" w:type="dxa"/>
          </w:tcPr>
          <w:p w14:paraId="3B0415AB"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0,74</w:t>
            </w:r>
          </w:p>
        </w:tc>
        <w:tc>
          <w:tcPr>
            <w:tcW w:w="1300" w:type="dxa"/>
          </w:tcPr>
          <w:p w14:paraId="26C025C0"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78%</w:t>
            </w:r>
          </w:p>
        </w:tc>
        <w:tc>
          <w:tcPr>
            <w:tcW w:w="2426" w:type="dxa"/>
          </w:tcPr>
          <w:p w14:paraId="34750E6B"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1 місце</w:t>
            </w:r>
          </w:p>
        </w:tc>
      </w:tr>
      <w:tr w:rsidR="00BE67EE" w:rsidRPr="00993978" w14:paraId="41628C06" w14:textId="77777777" w:rsidTr="00195BDA">
        <w:tc>
          <w:tcPr>
            <w:tcW w:w="2600" w:type="dxa"/>
          </w:tcPr>
          <w:p w14:paraId="48AD0F9A"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Компетентність фахівця</w:t>
            </w:r>
          </w:p>
        </w:tc>
        <w:tc>
          <w:tcPr>
            <w:tcW w:w="1400" w:type="dxa"/>
          </w:tcPr>
          <w:p w14:paraId="323C70AC"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3,9</w:t>
            </w:r>
          </w:p>
        </w:tc>
        <w:tc>
          <w:tcPr>
            <w:tcW w:w="1300" w:type="dxa"/>
          </w:tcPr>
          <w:p w14:paraId="53BB3546"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0,81</w:t>
            </w:r>
          </w:p>
        </w:tc>
        <w:tc>
          <w:tcPr>
            <w:tcW w:w="1300" w:type="dxa"/>
          </w:tcPr>
          <w:p w14:paraId="4FF7A083"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71%</w:t>
            </w:r>
          </w:p>
        </w:tc>
        <w:tc>
          <w:tcPr>
            <w:tcW w:w="2426" w:type="dxa"/>
          </w:tcPr>
          <w:p w14:paraId="69D59283"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2 місце</w:t>
            </w:r>
          </w:p>
        </w:tc>
      </w:tr>
      <w:tr w:rsidR="00BE67EE" w:rsidRPr="00993978" w14:paraId="676FCDC8" w14:textId="77777777" w:rsidTr="00195BDA">
        <w:tc>
          <w:tcPr>
            <w:tcW w:w="2600" w:type="dxa"/>
          </w:tcPr>
          <w:p w14:paraId="7CA29340"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Конфіденційність та безпека даних</w:t>
            </w:r>
          </w:p>
        </w:tc>
        <w:tc>
          <w:tcPr>
            <w:tcW w:w="1400" w:type="dxa"/>
          </w:tcPr>
          <w:p w14:paraId="03F7ECA0"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3,6</w:t>
            </w:r>
          </w:p>
        </w:tc>
        <w:tc>
          <w:tcPr>
            <w:tcW w:w="1300" w:type="dxa"/>
          </w:tcPr>
          <w:p w14:paraId="593D58AA"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0,95</w:t>
            </w:r>
          </w:p>
        </w:tc>
        <w:tc>
          <w:tcPr>
            <w:tcW w:w="1300" w:type="dxa"/>
          </w:tcPr>
          <w:p w14:paraId="217F67D9"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62%</w:t>
            </w:r>
          </w:p>
        </w:tc>
        <w:tc>
          <w:tcPr>
            <w:tcW w:w="2426" w:type="dxa"/>
          </w:tcPr>
          <w:p w14:paraId="2FBFAD80"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 місце</w:t>
            </w:r>
          </w:p>
        </w:tc>
      </w:tr>
      <w:tr w:rsidR="00BE67EE" w:rsidRPr="00993978" w14:paraId="16E1D16E" w14:textId="77777777" w:rsidTr="00195BDA">
        <w:tc>
          <w:tcPr>
            <w:tcW w:w="2600" w:type="dxa"/>
          </w:tcPr>
          <w:p w14:paraId="47365A08"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Доступність (технічна та фізична)</w:t>
            </w:r>
          </w:p>
        </w:tc>
        <w:tc>
          <w:tcPr>
            <w:tcW w:w="1400" w:type="dxa"/>
          </w:tcPr>
          <w:p w14:paraId="0B28BFB9"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3,4</w:t>
            </w:r>
          </w:p>
        </w:tc>
        <w:tc>
          <w:tcPr>
            <w:tcW w:w="1300" w:type="dxa"/>
          </w:tcPr>
          <w:p w14:paraId="354FD561"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1,12</w:t>
            </w:r>
          </w:p>
        </w:tc>
        <w:tc>
          <w:tcPr>
            <w:tcW w:w="1300" w:type="dxa"/>
          </w:tcPr>
          <w:p w14:paraId="52B9B46B"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55%</w:t>
            </w:r>
          </w:p>
        </w:tc>
        <w:tc>
          <w:tcPr>
            <w:tcW w:w="2426" w:type="dxa"/>
          </w:tcPr>
          <w:p w14:paraId="394B3FF8"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4 місце</w:t>
            </w:r>
          </w:p>
        </w:tc>
      </w:tr>
      <w:tr w:rsidR="00BE67EE" w:rsidRPr="00993978" w14:paraId="5A4B638E" w14:textId="77777777" w:rsidTr="00195BDA">
        <w:tc>
          <w:tcPr>
            <w:tcW w:w="2600" w:type="dxa"/>
          </w:tcPr>
          <w:p w14:paraId="702C359C"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Емпатія (людяність фахівця онлайн)</w:t>
            </w:r>
          </w:p>
        </w:tc>
        <w:tc>
          <w:tcPr>
            <w:tcW w:w="1400" w:type="dxa"/>
          </w:tcPr>
          <w:p w14:paraId="6B119AE7"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3,2</w:t>
            </w:r>
          </w:p>
        </w:tc>
        <w:tc>
          <w:tcPr>
            <w:tcW w:w="1300" w:type="dxa"/>
          </w:tcPr>
          <w:p w14:paraId="1D708C3A"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1,03</w:t>
            </w:r>
          </w:p>
        </w:tc>
        <w:tc>
          <w:tcPr>
            <w:tcW w:w="1300" w:type="dxa"/>
          </w:tcPr>
          <w:p w14:paraId="01C04DBD"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49%</w:t>
            </w:r>
          </w:p>
        </w:tc>
        <w:tc>
          <w:tcPr>
            <w:tcW w:w="2426" w:type="dxa"/>
          </w:tcPr>
          <w:p w14:paraId="4972F5C5"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5 місце</w:t>
            </w:r>
          </w:p>
        </w:tc>
      </w:tr>
      <w:tr w:rsidR="00BE67EE" w:rsidRPr="00993978" w14:paraId="23DC1F0F" w14:textId="77777777" w:rsidTr="00195BDA">
        <w:tc>
          <w:tcPr>
            <w:tcW w:w="2600" w:type="dxa"/>
          </w:tcPr>
          <w:p w14:paraId="19371907"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Загальна задоволеність (інтегральна)</w:t>
            </w:r>
          </w:p>
        </w:tc>
        <w:tc>
          <w:tcPr>
            <w:tcW w:w="1400" w:type="dxa"/>
          </w:tcPr>
          <w:p w14:paraId="71C7DE3B"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3,64</w:t>
            </w:r>
          </w:p>
        </w:tc>
        <w:tc>
          <w:tcPr>
            <w:tcW w:w="1300" w:type="dxa"/>
          </w:tcPr>
          <w:p w14:paraId="1BA58295"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0,93</w:t>
            </w:r>
          </w:p>
        </w:tc>
        <w:tc>
          <w:tcPr>
            <w:tcW w:w="1300" w:type="dxa"/>
          </w:tcPr>
          <w:p w14:paraId="378F5F6D"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63%</w:t>
            </w:r>
          </w:p>
        </w:tc>
        <w:tc>
          <w:tcPr>
            <w:tcW w:w="2426" w:type="dxa"/>
          </w:tcPr>
          <w:p w14:paraId="124CB583" w14:textId="77777777" w:rsidR="00BE67EE" w:rsidRPr="00993978" w:rsidRDefault="00711973"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w:t>
            </w:r>
          </w:p>
        </w:tc>
      </w:tr>
    </w:tbl>
    <w:p w14:paraId="4EA04C54" w14:textId="77777777" w:rsidR="00BE67EE" w:rsidRPr="00993978" w:rsidRDefault="00BE67EE" w:rsidP="00BE67EE">
      <w:pPr>
        <w:spacing w:after="100" w:line="360" w:lineRule="auto"/>
        <w:jc w:val="both"/>
        <w:rPr>
          <w:rFonts w:ascii="Times New Roman" w:eastAsia="Times New Roman" w:hAnsi="Times New Roman"/>
          <w:sz w:val="28"/>
          <w:szCs w:val="28"/>
          <w:lang w:val="uk-UA" w:eastAsia="ru-RU"/>
        </w:rPr>
      </w:pPr>
    </w:p>
    <w:p w14:paraId="769D1019"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Результати, представлені у Таблиці 3.2, свідчать про помірний рівень задоволеності якістю цифрових консультацій: інтегральний показник становить 3,64 бала з 5 можливих (63% задоволених). Найвищу оцінку отримала </w:t>
      </w:r>
      <w:r>
        <w:rPr>
          <w:rFonts w:ascii="Times New Roman" w:eastAsia="Times New Roman" w:hAnsi="Times New Roman"/>
          <w:bCs/>
          <w:sz w:val="28"/>
          <w:szCs w:val="28"/>
          <w:lang w:val="uk-UA" w:eastAsia="ru-RU"/>
        </w:rPr>
        <w:t>оперативність реагування</w:t>
      </w:r>
      <w:r>
        <w:rPr>
          <w:rFonts w:ascii="Times New Roman" w:eastAsia="Times New Roman" w:hAnsi="Times New Roman"/>
          <w:sz w:val="28"/>
          <w:szCs w:val="28"/>
          <w:lang w:val="uk-UA" w:eastAsia="ru-RU"/>
        </w:rPr>
        <w:t xml:space="preserve"> (M=4,1; 78% задоволених), що підтверджує ключову перевагу цифрових каналів перед очними формами. Натомість найнижчу оцінку здобув вимір </w:t>
      </w:r>
      <w:r>
        <w:rPr>
          <w:rFonts w:ascii="Times New Roman" w:eastAsia="Times New Roman" w:hAnsi="Times New Roman"/>
          <w:bCs/>
          <w:sz w:val="28"/>
          <w:szCs w:val="28"/>
          <w:lang w:val="uk-UA" w:eastAsia="ru-RU"/>
        </w:rPr>
        <w:t>«емпатія»</w:t>
      </w:r>
      <w:r>
        <w:rPr>
          <w:rFonts w:ascii="Times New Roman" w:eastAsia="Times New Roman" w:hAnsi="Times New Roman"/>
          <w:sz w:val="28"/>
          <w:szCs w:val="28"/>
          <w:lang w:val="uk-UA" w:eastAsia="ru-RU"/>
        </w:rPr>
        <w:t xml:space="preserve"> (M=3,2; 49% задоволених), що відображає принципове обмеження дистанційної взаємодії – труднощі у передачі та сприйнятті емоційної підтримки у нелінійному онлайн-форматі.</w:t>
      </w:r>
    </w:p>
    <w:p w14:paraId="027F8A45" w14:textId="77777777" w:rsidR="00BE67EE"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Вимір </w:t>
      </w:r>
      <w:r>
        <w:rPr>
          <w:rFonts w:ascii="Times New Roman" w:eastAsia="Times New Roman" w:hAnsi="Times New Roman"/>
          <w:b/>
          <w:bCs/>
          <w:sz w:val="28"/>
          <w:szCs w:val="28"/>
          <w:lang w:val="uk-UA" w:eastAsia="ru-RU"/>
        </w:rPr>
        <w:t>«</w:t>
      </w:r>
      <w:r>
        <w:rPr>
          <w:rFonts w:ascii="Times New Roman" w:eastAsia="Times New Roman" w:hAnsi="Times New Roman"/>
          <w:bCs/>
          <w:sz w:val="28"/>
          <w:szCs w:val="28"/>
          <w:lang w:val="uk-UA" w:eastAsia="ru-RU"/>
        </w:rPr>
        <w:t>доступність»</w:t>
      </w:r>
      <w:r>
        <w:rPr>
          <w:rFonts w:ascii="Times New Roman" w:eastAsia="Times New Roman" w:hAnsi="Times New Roman"/>
          <w:sz w:val="28"/>
          <w:szCs w:val="28"/>
          <w:lang w:val="uk-UA" w:eastAsia="ru-RU"/>
        </w:rPr>
        <w:t xml:space="preserve"> отримав четверту позицію (M=3,4; 55%), що обумовлено насамперед технічними бар'єрами: відсутністю стабільного інтернету, нестачею цифрових пристроїв або низьким рівнем цифрової грамотності у частини отримувачів. Показово, що стандартне відхилення за цим виміром є найвищим (SD=1,12), що свідчить про значну розбіжність досвіду між різними категоріями – від повного задоволення до повної незадоволеності.</w:t>
      </w:r>
    </w:p>
    <w:p w14:paraId="71E81DDA" w14:textId="77777777" w:rsidR="00AC10CF" w:rsidRPr="00993978" w:rsidRDefault="00AC10CF" w:rsidP="00BE67EE">
      <w:pPr>
        <w:spacing w:after="0" w:line="360" w:lineRule="auto"/>
        <w:ind w:firstLine="710"/>
        <w:jc w:val="both"/>
        <w:rPr>
          <w:rFonts w:ascii="Times New Roman" w:eastAsia="Times New Roman" w:hAnsi="Times New Roman"/>
          <w:sz w:val="28"/>
          <w:szCs w:val="28"/>
          <w:lang w:val="uk-UA" w:eastAsia="ru-RU"/>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226"/>
        <w:gridCol w:w="800"/>
      </w:tblGrid>
      <w:tr w:rsidR="00BE67EE" w:rsidRPr="00993978" w14:paraId="0141FB0E" w14:textId="77777777" w:rsidTr="00195BDA">
        <w:tc>
          <w:tcPr>
            <w:tcW w:w="30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70CE3B84"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Показник</w:t>
            </w:r>
          </w:p>
        </w:tc>
        <w:tc>
          <w:tcPr>
            <w:tcW w:w="5226"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32CE2985"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Розподіл відповідей</w:t>
            </w:r>
          </w:p>
        </w:tc>
        <w:tc>
          <w:tcPr>
            <w:tcW w:w="8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2A1BA2D1"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w:t>
            </w:r>
          </w:p>
        </w:tc>
      </w:tr>
      <w:tr w:rsidR="00BE67EE" w:rsidRPr="00993978" w14:paraId="7FEC5E28"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5B48F45E"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Ветерани та члени їх родин</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18D3A167"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09E3B6E6"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81%</w:t>
            </w:r>
          </w:p>
        </w:tc>
      </w:tr>
      <w:tr w:rsidR="00BE67EE" w:rsidRPr="00993978" w14:paraId="53CB6449"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9E5251C"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Внутрішньо переміщені особи (ВПО)</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56CD7152"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28141F0"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74%</w:t>
            </w:r>
          </w:p>
        </w:tc>
      </w:tr>
      <w:tr w:rsidR="00BE67EE" w:rsidRPr="00993978" w14:paraId="71609571"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CD32507"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Малозабезпечені сім'ї / сім'ї у СЖО</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0B405596"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E201F61"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62%</w:t>
            </w:r>
          </w:p>
        </w:tc>
      </w:tr>
      <w:tr w:rsidR="00BE67EE" w:rsidRPr="00993978" w14:paraId="00132D1D"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151FBA6"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Особи з інвалідністю</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612FE2D9"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051E8CFB"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55%</w:t>
            </w:r>
          </w:p>
        </w:tc>
      </w:tr>
      <w:tr w:rsidR="00BE67EE" w:rsidRPr="00993978" w14:paraId="5266D838"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7AB6604A"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Особи похилого віку (60+)</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4198DDE9"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08611D5"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38%</w:t>
            </w:r>
          </w:p>
        </w:tc>
      </w:tr>
      <w:tr w:rsidR="00BE67EE" w:rsidRPr="00993978" w14:paraId="78D0A95F"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4E81ACE4"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Загальний показник</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5FD28AC8"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B230056"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63%</w:t>
            </w:r>
          </w:p>
        </w:tc>
      </w:tr>
    </w:tbl>
    <w:p w14:paraId="7EA5BA30" w14:textId="77777777" w:rsidR="00BE67EE" w:rsidRPr="00993978" w:rsidRDefault="00BE67EE" w:rsidP="00BE67EE">
      <w:pPr>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iCs/>
          <w:sz w:val="26"/>
          <w:szCs w:val="26"/>
          <w:lang w:val="uk-UA" w:eastAsia="ru-RU"/>
        </w:rPr>
        <w:t>Рис. 3.2. Рівень загальної задоволеності цифровими консультаціями за категоріями отримувачів (% задоволених, n=89)</w:t>
      </w:r>
    </w:p>
    <w:p w14:paraId="02FE27A3" w14:textId="77777777" w:rsidR="00AC10CF"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Рис. 3.2. наочно демонструє суттєву диференціацію рівня задоволеності цифровими консультаціями між категоріями отримувачів. Найвищу задоволеність демонструють ветерани (81%) та ВПО (74%) – групи, які є відносно молодшими за віком та мають вищий рівень цифрової грамотності. Особи похилого віку (60+) виявили найнижчий рівень задоволеності (38%), що безпосередньо корелює з виявленими бар'єрами доступу. </w:t>
      </w:r>
    </w:p>
    <w:p w14:paraId="6B434B04"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Кореляційний аналіз (коефіцієнт Спірмена) підтвердив сильний зворотний зв'язок між віком респондента та рівнем задоволеності цифровими консультаціями (r=-0,67; p&lt;0,01).</w:t>
      </w:r>
    </w:p>
    <w:p w14:paraId="0FA1B824"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Блок 3. Бар'єри доступу до цифрових консультацій.</w:t>
      </w:r>
    </w:p>
    <w:p w14:paraId="4A2205D5" w14:textId="77777777" w:rsidR="00BE67EE"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Серед 31 особи (26% вибірки), яка не має досвіду цифрових звернень, а також серед тих, хто має частковий досвід та стикався з труднощами, було виявлено такі бар'єри (допускалося кілька відповідей):</w:t>
      </w:r>
    </w:p>
    <w:p w14:paraId="1646A488" w14:textId="77777777" w:rsidR="00AC10CF" w:rsidRDefault="00AC10CF" w:rsidP="00AC10CF">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Отримані дані підтверджують теоретичний висновок про множинність та різноспрямованість бар'єрів цифрового доступу. Найпоширенішим виявився бар'єр </w:t>
      </w:r>
      <w:r>
        <w:rPr>
          <w:rFonts w:ascii="Times New Roman" w:eastAsia="Times New Roman" w:hAnsi="Times New Roman"/>
          <w:bCs/>
          <w:sz w:val="28"/>
          <w:szCs w:val="28"/>
          <w:lang w:val="uk-UA" w:eastAsia="ru-RU"/>
        </w:rPr>
        <w:t>цифрової грамотності</w:t>
      </w:r>
      <w:r>
        <w:rPr>
          <w:rFonts w:ascii="Times New Roman" w:eastAsia="Times New Roman" w:hAnsi="Times New Roman"/>
          <w:sz w:val="28"/>
          <w:szCs w:val="28"/>
          <w:lang w:val="uk-UA" w:eastAsia="ru-RU"/>
        </w:rPr>
        <w:t xml:space="preserve"> – невміння користуватися онлайн-інструментами (52%). Цей бар'єр особливо характерний для осіб похилого віку та людей з нижчим рівнем освіти. Інфраструктурні бар'єри (відсутність/нестабільний інтернет – 44%; відсутність пристрою – 31%) є другою за значущістю групою. Принципово важливим є те, що 29% респондентів вказали на </w:t>
      </w:r>
      <w:r>
        <w:rPr>
          <w:rFonts w:ascii="Times New Roman" w:eastAsia="Times New Roman" w:hAnsi="Times New Roman"/>
          <w:bCs/>
          <w:sz w:val="28"/>
          <w:szCs w:val="28"/>
          <w:lang w:val="uk-UA" w:eastAsia="ru-RU"/>
        </w:rPr>
        <w:t>недовіру до конфіденційності</w:t>
      </w:r>
      <w:r>
        <w:rPr>
          <w:rFonts w:ascii="Times New Roman" w:eastAsia="Times New Roman" w:hAnsi="Times New Roman"/>
          <w:sz w:val="28"/>
          <w:szCs w:val="28"/>
          <w:lang w:val="uk-UA" w:eastAsia="ru-RU"/>
        </w:rPr>
        <w:t xml:space="preserve"> – що свідчить про недостатню поінформованість щодо заходів захисту персональних даних у цифрових соціальних службах (див. рис. 3.3.).</w:t>
      </w:r>
    </w:p>
    <w:p w14:paraId="2F22BB51" w14:textId="77777777" w:rsidR="00AC10CF" w:rsidRPr="00993978" w:rsidRDefault="00AC10CF" w:rsidP="00AC10CF">
      <w:pPr>
        <w:spacing w:after="0" w:line="360" w:lineRule="auto"/>
        <w:ind w:firstLine="710"/>
        <w:jc w:val="both"/>
        <w:rPr>
          <w:rFonts w:ascii="Times New Roman" w:eastAsia="Times New Roman" w:hAnsi="Times New Roman"/>
          <w:sz w:val="28"/>
          <w:szCs w:val="28"/>
          <w:lang w:val="uk-UA" w:eastAsia="ru-RU"/>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226"/>
        <w:gridCol w:w="800"/>
      </w:tblGrid>
      <w:tr w:rsidR="00BE67EE" w:rsidRPr="00993978" w14:paraId="296211FB" w14:textId="77777777" w:rsidTr="00195BDA">
        <w:tc>
          <w:tcPr>
            <w:tcW w:w="30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6278D7F5"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Показник</w:t>
            </w:r>
          </w:p>
        </w:tc>
        <w:tc>
          <w:tcPr>
            <w:tcW w:w="5226"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5101C16C"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Розподіл відповідей</w:t>
            </w:r>
          </w:p>
        </w:tc>
        <w:tc>
          <w:tcPr>
            <w:tcW w:w="800" w:type="dxa"/>
            <w:tcBorders>
              <w:top w:val="single" w:sz="4" w:space="0" w:color="2C5F8A"/>
              <w:left w:val="single" w:sz="4" w:space="0" w:color="2C5F8A"/>
              <w:bottom w:val="single" w:sz="4" w:space="0" w:color="2C5F8A"/>
              <w:right w:val="single" w:sz="4" w:space="0" w:color="2C5F8A"/>
            </w:tcBorders>
            <w:tcMar>
              <w:top w:w="100" w:type="dxa"/>
              <w:left w:w="120" w:type="dxa"/>
              <w:bottom w:w="100" w:type="dxa"/>
              <w:right w:w="120" w:type="dxa"/>
            </w:tcMar>
          </w:tcPr>
          <w:p w14:paraId="4B6629E5" w14:textId="77777777" w:rsidR="00BE67EE" w:rsidRPr="00195BDA"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lang w:val="uk-UA" w:eastAsia="ru-RU"/>
              </w:rPr>
              <w:t>%</w:t>
            </w:r>
          </w:p>
        </w:tc>
      </w:tr>
      <w:tr w:rsidR="00BE67EE" w:rsidRPr="00993978" w14:paraId="4F2C7CD3"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2589137"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Невміння користуватись онлайн-інструментами</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0AC7CC51"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DF5F108"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52%</w:t>
            </w:r>
          </w:p>
        </w:tc>
      </w:tr>
      <w:tr w:rsidR="00BE67EE" w:rsidRPr="00993978" w14:paraId="3677D012"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78BD77FA"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Відсутність / нестабільний інтернет</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17B09D0C"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6D858623"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44%</w:t>
            </w:r>
          </w:p>
        </w:tc>
      </w:tr>
      <w:tr w:rsidR="00BE67EE" w:rsidRPr="00993978" w14:paraId="022402E6"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D7616FC"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Відсутність смартфону / комп'ютера</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265C9039"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4815A9E8"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31%</w:t>
            </w:r>
          </w:p>
        </w:tc>
      </w:tr>
      <w:tr w:rsidR="00BE67EE" w:rsidRPr="00993978" w14:paraId="27EC4633"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A8FEE52"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Недовіра до конфіденційності онлайн</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3EB6A58B"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7FF9A999"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29%</w:t>
            </w:r>
          </w:p>
        </w:tc>
      </w:tr>
      <w:tr w:rsidR="00BE67EE" w:rsidRPr="00993978" w14:paraId="0CF1BE16"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E4DD07F"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Відсутність інформації про цифрові послуги</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7A4453ED"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2A54A95A"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27%</w:t>
            </w:r>
          </w:p>
        </w:tc>
      </w:tr>
      <w:tr w:rsidR="00BE67EE" w:rsidRPr="00993978" w14:paraId="631F2317"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116040C"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Бажаю лише особистого спілкування</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34A600B9"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5F76942B"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24%</w:t>
            </w:r>
          </w:p>
        </w:tc>
      </w:tr>
      <w:tr w:rsidR="00BE67EE" w:rsidRPr="00993978" w14:paraId="0E44D2B7" w14:textId="77777777" w:rsidTr="00195BDA">
        <w:tc>
          <w:tcPr>
            <w:tcW w:w="30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C9211A8"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Технічні збої під час консультації</w:t>
            </w:r>
          </w:p>
        </w:tc>
        <w:tc>
          <w:tcPr>
            <w:tcW w:w="5226" w:type="dxa"/>
            <w:tcBorders>
              <w:top w:val="single" w:sz="4" w:space="0" w:color="2C5F8A"/>
              <w:left w:val="single" w:sz="4" w:space="0" w:color="2C5F8A"/>
              <w:bottom w:val="single" w:sz="4" w:space="0" w:color="2C5F8A"/>
              <w:right w:val="single" w:sz="4" w:space="0" w:color="2C5F8A"/>
            </w:tcBorders>
            <w:tcMar>
              <w:top w:w="70" w:type="dxa"/>
              <w:left w:w="100" w:type="dxa"/>
              <w:bottom w:w="70" w:type="dxa"/>
              <w:right w:w="100" w:type="dxa"/>
            </w:tcMar>
          </w:tcPr>
          <w:p w14:paraId="4ABC2DE0" w14:textId="77777777" w:rsidR="00BE67EE" w:rsidRPr="00993978" w:rsidRDefault="00BE67EE" w:rsidP="00104637">
            <w:pPr>
              <w:spacing w:after="0" w:line="240" w:lineRule="auto"/>
              <w:jc w:val="both"/>
              <w:rPr>
                <w:rFonts w:ascii="Times New Roman" w:eastAsia="Times New Roman" w:hAnsi="Times New Roman"/>
                <w:sz w:val="28"/>
                <w:szCs w:val="28"/>
                <w:lang w:val="uk-UA" w:eastAsia="ru-RU"/>
              </w:rPr>
            </w:pPr>
            <w:r>
              <w:rPr>
                <w:rFonts w:ascii="Courier New" w:eastAsia="Courier New" w:hAnsi="Courier New" w:cs="Courier New"/>
                <w:color w:val="2C5F8A"/>
                <w:sz w:val="16"/>
                <w:szCs w:val="16"/>
                <w:lang w:val="uk-UA" w:eastAsia="ru-RU"/>
              </w:rPr>
              <w:t>███████████████░░░░░░░░░░░░░░░░░░░░░░░░░</w:t>
            </w:r>
          </w:p>
        </w:tc>
        <w:tc>
          <w:tcPr>
            <w:tcW w:w="800" w:type="dxa"/>
            <w:tcBorders>
              <w:top w:val="single" w:sz="4" w:space="0" w:color="2C5F8A"/>
              <w:left w:val="single" w:sz="4" w:space="0" w:color="2C5F8A"/>
              <w:bottom w:val="single" w:sz="4" w:space="0" w:color="2C5F8A"/>
              <w:right w:val="single" w:sz="4" w:space="0" w:color="2C5F8A"/>
            </w:tcBorders>
            <w:tcMar>
              <w:top w:w="80" w:type="dxa"/>
              <w:left w:w="100" w:type="dxa"/>
              <w:bottom w:w="80" w:type="dxa"/>
              <w:right w:w="100" w:type="dxa"/>
            </w:tcMar>
          </w:tcPr>
          <w:p w14:paraId="3038CE08" w14:textId="77777777" w:rsidR="00BE67EE" w:rsidRPr="00993978" w:rsidRDefault="00BE67EE" w:rsidP="0010463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19%</w:t>
            </w:r>
          </w:p>
        </w:tc>
      </w:tr>
    </w:tbl>
    <w:p w14:paraId="015466BD" w14:textId="77777777" w:rsidR="00BE67EE" w:rsidRPr="00993978" w:rsidRDefault="00BE67EE" w:rsidP="00BE67EE">
      <w:pPr>
        <w:spacing w:after="0" w:line="360" w:lineRule="auto"/>
        <w:ind w:firstLine="709"/>
        <w:jc w:val="both"/>
        <w:rPr>
          <w:rFonts w:ascii="Times New Roman" w:eastAsia="Times New Roman" w:hAnsi="Times New Roman"/>
          <w:b/>
          <w:iCs/>
          <w:sz w:val="26"/>
          <w:szCs w:val="26"/>
          <w:lang w:val="uk-UA" w:eastAsia="ru-RU"/>
        </w:rPr>
      </w:pPr>
    </w:p>
    <w:p w14:paraId="1DF6133D" w14:textId="77777777" w:rsidR="00BE67EE" w:rsidRPr="00993978" w:rsidRDefault="00BE67EE" w:rsidP="00BE67EE">
      <w:pPr>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iCs/>
          <w:sz w:val="26"/>
          <w:szCs w:val="26"/>
          <w:lang w:val="uk-UA" w:eastAsia="ru-RU"/>
        </w:rPr>
        <w:t>Рис. 3.3. Основні бар'єри доступу до цифрових соціальних консультацій (% від тих, хто їх відчував, n=68)</w:t>
      </w:r>
    </w:p>
    <w:p w14:paraId="044CD5F2" w14:textId="77777777" w:rsidR="00BE67EE" w:rsidRPr="00993978" w:rsidRDefault="00BE67EE" w:rsidP="00BE67EE">
      <w:pPr>
        <w:spacing w:after="120" w:line="280" w:lineRule="auto"/>
        <w:ind w:left="300"/>
        <w:jc w:val="both"/>
        <w:rPr>
          <w:rFonts w:ascii="Times New Roman" w:eastAsia="Times New Roman" w:hAnsi="Times New Roman"/>
          <w:sz w:val="28"/>
          <w:szCs w:val="28"/>
          <w:lang w:val="uk-UA" w:eastAsia="ru-RU"/>
        </w:rPr>
      </w:pPr>
      <w:r>
        <w:rPr>
          <w:rFonts w:ascii="Times New Roman" w:eastAsia="Times New Roman" w:hAnsi="Times New Roman"/>
          <w:i/>
          <w:iCs/>
          <w:sz w:val="20"/>
          <w:szCs w:val="20"/>
          <w:lang w:val="uk-UA" w:eastAsia="ru-RU"/>
        </w:rPr>
        <w:t>* Дозволялося вказати кілька варіантів</w:t>
      </w:r>
    </w:p>
    <w:p w14:paraId="12B8482C" w14:textId="77777777" w:rsidR="00AC10CF" w:rsidRDefault="00AC10CF" w:rsidP="00BE67EE">
      <w:pPr>
        <w:spacing w:after="0" w:line="360" w:lineRule="auto"/>
        <w:ind w:firstLine="710"/>
        <w:jc w:val="both"/>
        <w:rPr>
          <w:rFonts w:ascii="Times New Roman" w:eastAsia="Times New Roman" w:hAnsi="Times New Roman"/>
          <w:bCs/>
          <w:sz w:val="28"/>
          <w:szCs w:val="28"/>
          <w:lang w:val="uk-UA" w:eastAsia="ru-RU"/>
        </w:rPr>
      </w:pPr>
    </w:p>
    <w:p w14:paraId="42B57200"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Результати опитування соціальних працівників (n=32).</w:t>
      </w:r>
    </w:p>
    <w:p w14:paraId="45E33A10"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Анкетування фахівців соціальних служб було спрямоване на оцінку інституційних умов надання цифрових консультацій та рівня цифрової компетентності персоналу. Результати виявили суперечливу картину: переважна більшість соціальних працівників (84%) вважає цифрові консультації важливим або дуже важливим доповненням до очних форм роботи. Водночас 56% визнали, що їхній рівень цифрових навичок є недостатнім для впевненого проведення відеоконсультацій, а 47% зазначили, що не мають чітких методичних рекомендацій щодо стандартів якості цифрових консультацій.</w:t>
      </w:r>
    </w:p>
    <w:p w14:paraId="393741B1" w14:textId="77777777" w:rsidR="00BE67EE" w:rsidRPr="00993978" w:rsidRDefault="00BE67EE" w:rsidP="00BE67EE">
      <w:pPr>
        <w:spacing w:after="0" w:line="360" w:lineRule="auto"/>
        <w:jc w:val="right"/>
        <w:rPr>
          <w:rFonts w:ascii="Times New Roman" w:eastAsia="Times New Roman" w:hAnsi="Times New Roman"/>
          <w:b/>
          <w:bCs/>
          <w:iCs/>
          <w:sz w:val="26"/>
          <w:szCs w:val="26"/>
          <w:lang w:val="uk-UA" w:eastAsia="ru-RU"/>
        </w:rPr>
      </w:pPr>
      <w:r>
        <w:rPr>
          <w:rFonts w:ascii="Times New Roman" w:eastAsia="Times New Roman" w:hAnsi="Times New Roman"/>
          <w:b/>
          <w:bCs/>
          <w:iCs/>
          <w:sz w:val="26"/>
          <w:szCs w:val="26"/>
          <w:lang w:val="uk-UA" w:eastAsia="ru-RU"/>
        </w:rPr>
        <w:t xml:space="preserve">Таблиця 3.3. </w:t>
      </w:r>
    </w:p>
    <w:p w14:paraId="17E000E4" w14:textId="77777777" w:rsidR="00BE67EE" w:rsidRPr="00993978" w:rsidRDefault="00BE67EE" w:rsidP="00BE67EE">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iCs/>
          <w:sz w:val="26"/>
          <w:szCs w:val="26"/>
          <w:lang w:val="uk-UA" w:eastAsia="ru-RU"/>
        </w:rPr>
        <w:t>Самооцінка цифрової компетентності соціальними працівниками (n=32, %)</w:t>
      </w:r>
    </w:p>
    <w:tbl>
      <w:tblPr>
        <w:tblStyle w:val="ListTable3"/>
        <w:tblW w:w="9026" w:type="dxa"/>
        <w:tblLook w:val="0000" w:firstRow="0" w:lastRow="0" w:firstColumn="0" w:lastColumn="0" w:noHBand="0" w:noVBand="0"/>
      </w:tblPr>
      <w:tblGrid>
        <w:gridCol w:w="3400"/>
        <w:gridCol w:w="1406"/>
        <w:gridCol w:w="1406"/>
        <w:gridCol w:w="1407"/>
        <w:gridCol w:w="1407"/>
      </w:tblGrid>
      <w:tr w:rsidR="00BE67EE" w:rsidRPr="00993978" w14:paraId="3C21887C"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00" w:type="dxa"/>
          </w:tcPr>
          <w:p w14:paraId="078ED94A"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Компетентність / навичка</w:t>
            </w:r>
          </w:p>
        </w:tc>
        <w:tc>
          <w:tcPr>
            <w:tcW w:w="1406" w:type="dxa"/>
          </w:tcPr>
          <w:p w14:paraId="0E3290AD"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Базовий рівень (%)</w:t>
            </w:r>
          </w:p>
        </w:tc>
        <w:tc>
          <w:tcPr>
            <w:cnfStyle w:val="000010000000" w:firstRow="0" w:lastRow="0" w:firstColumn="0" w:lastColumn="0" w:oddVBand="1" w:evenVBand="0" w:oddHBand="0" w:evenHBand="0" w:firstRowFirstColumn="0" w:firstRowLastColumn="0" w:lastRowFirstColumn="0" w:lastRowLastColumn="0"/>
            <w:tcW w:w="1406" w:type="dxa"/>
          </w:tcPr>
          <w:p w14:paraId="44E4F771"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Достатній рівень (%)</w:t>
            </w:r>
          </w:p>
        </w:tc>
        <w:tc>
          <w:tcPr>
            <w:tcW w:w="1407" w:type="dxa"/>
          </w:tcPr>
          <w:p w14:paraId="1EF5858A"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Добрий рівень (%)</w:t>
            </w:r>
          </w:p>
        </w:tc>
        <w:tc>
          <w:tcPr>
            <w:cnfStyle w:val="000010000000" w:firstRow="0" w:lastRow="0" w:firstColumn="0" w:lastColumn="0" w:oddVBand="1" w:evenVBand="0" w:oddHBand="0" w:evenHBand="0" w:firstRowFirstColumn="0" w:firstRowLastColumn="0" w:lastRowFirstColumn="0" w:lastRowLastColumn="0"/>
            <w:tcW w:w="1407" w:type="dxa"/>
          </w:tcPr>
          <w:p w14:paraId="4C10D0A8"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Відсутня (%)</w:t>
            </w:r>
          </w:p>
        </w:tc>
      </w:tr>
      <w:tr w:rsidR="00BE67EE" w:rsidRPr="00993978" w14:paraId="1F4726A6" w14:textId="77777777" w:rsidTr="00195BDA">
        <w:tc>
          <w:tcPr>
            <w:cnfStyle w:val="000010000000" w:firstRow="0" w:lastRow="0" w:firstColumn="0" w:lastColumn="0" w:oddVBand="1" w:evenVBand="0" w:oddHBand="0" w:evenHBand="0" w:firstRowFirstColumn="0" w:firstRowLastColumn="0" w:lastRowFirstColumn="0" w:lastRowLastColumn="0"/>
            <w:tcW w:w="3400" w:type="dxa"/>
          </w:tcPr>
          <w:p w14:paraId="6D7DD383"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Використання месенджерів для консультування</w:t>
            </w:r>
          </w:p>
        </w:tc>
        <w:tc>
          <w:tcPr>
            <w:tcW w:w="1406" w:type="dxa"/>
          </w:tcPr>
          <w:p w14:paraId="0F2839F6"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25</w:t>
            </w:r>
          </w:p>
        </w:tc>
        <w:tc>
          <w:tcPr>
            <w:cnfStyle w:val="000010000000" w:firstRow="0" w:lastRow="0" w:firstColumn="0" w:lastColumn="0" w:oddVBand="1" w:evenVBand="0" w:oddHBand="0" w:evenHBand="0" w:firstRowFirstColumn="0" w:firstRowLastColumn="0" w:lastRowFirstColumn="0" w:lastRowLastColumn="0"/>
            <w:tcW w:w="1406" w:type="dxa"/>
          </w:tcPr>
          <w:p w14:paraId="15443F1A"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44</w:t>
            </w:r>
          </w:p>
        </w:tc>
        <w:tc>
          <w:tcPr>
            <w:tcW w:w="1407" w:type="dxa"/>
          </w:tcPr>
          <w:p w14:paraId="76358CC7"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31</w:t>
            </w:r>
          </w:p>
        </w:tc>
        <w:tc>
          <w:tcPr>
            <w:cnfStyle w:val="000010000000" w:firstRow="0" w:lastRow="0" w:firstColumn="0" w:lastColumn="0" w:oddVBand="1" w:evenVBand="0" w:oddHBand="0" w:evenHBand="0" w:firstRowFirstColumn="0" w:firstRowLastColumn="0" w:lastRowFirstColumn="0" w:lastRowLastColumn="0"/>
            <w:tcW w:w="1407" w:type="dxa"/>
          </w:tcPr>
          <w:p w14:paraId="7F66A14E"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0</w:t>
            </w:r>
          </w:p>
        </w:tc>
      </w:tr>
      <w:tr w:rsidR="00BE67EE" w:rsidRPr="00993978" w14:paraId="2AB03950"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00" w:type="dxa"/>
          </w:tcPr>
          <w:p w14:paraId="07A264C8"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Проведення відеоконсультацій (Zoom, Teams)</w:t>
            </w:r>
          </w:p>
        </w:tc>
        <w:tc>
          <w:tcPr>
            <w:tcW w:w="1406" w:type="dxa"/>
          </w:tcPr>
          <w:p w14:paraId="7C010227"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41</w:t>
            </w:r>
          </w:p>
        </w:tc>
        <w:tc>
          <w:tcPr>
            <w:cnfStyle w:val="000010000000" w:firstRow="0" w:lastRow="0" w:firstColumn="0" w:lastColumn="0" w:oddVBand="1" w:evenVBand="0" w:oddHBand="0" w:evenHBand="0" w:firstRowFirstColumn="0" w:firstRowLastColumn="0" w:lastRowFirstColumn="0" w:lastRowLastColumn="0"/>
            <w:tcW w:w="1406" w:type="dxa"/>
          </w:tcPr>
          <w:p w14:paraId="4DBC8688"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28</w:t>
            </w:r>
          </w:p>
        </w:tc>
        <w:tc>
          <w:tcPr>
            <w:tcW w:w="1407" w:type="dxa"/>
          </w:tcPr>
          <w:p w14:paraId="5481ECB1"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22</w:t>
            </w:r>
          </w:p>
        </w:tc>
        <w:tc>
          <w:tcPr>
            <w:cnfStyle w:val="000010000000" w:firstRow="0" w:lastRow="0" w:firstColumn="0" w:lastColumn="0" w:oddVBand="1" w:evenVBand="0" w:oddHBand="0" w:evenHBand="0" w:firstRowFirstColumn="0" w:firstRowLastColumn="0" w:lastRowFirstColumn="0" w:lastRowLastColumn="0"/>
            <w:tcW w:w="1407" w:type="dxa"/>
          </w:tcPr>
          <w:p w14:paraId="1762219D"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9</w:t>
            </w:r>
          </w:p>
        </w:tc>
      </w:tr>
      <w:tr w:rsidR="00BE67EE" w:rsidRPr="00993978" w14:paraId="4923E7E5" w14:textId="77777777" w:rsidTr="00195BDA">
        <w:tc>
          <w:tcPr>
            <w:cnfStyle w:val="000010000000" w:firstRow="0" w:lastRow="0" w:firstColumn="0" w:lastColumn="0" w:oddVBand="1" w:evenVBand="0" w:oddHBand="0" w:evenHBand="0" w:firstRowFirstColumn="0" w:firstRowLastColumn="0" w:lastRowFirstColumn="0" w:lastRowLastColumn="0"/>
            <w:tcW w:w="3400" w:type="dxa"/>
          </w:tcPr>
          <w:p w14:paraId="45936B28"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Ведення електронних баз клієнтів (CRM)</w:t>
            </w:r>
          </w:p>
        </w:tc>
        <w:tc>
          <w:tcPr>
            <w:tcW w:w="1406" w:type="dxa"/>
          </w:tcPr>
          <w:p w14:paraId="4382C71B"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44</w:t>
            </w:r>
          </w:p>
        </w:tc>
        <w:tc>
          <w:tcPr>
            <w:cnfStyle w:val="000010000000" w:firstRow="0" w:lastRow="0" w:firstColumn="0" w:lastColumn="0" w:oddVBand="1" w:evenVBand="0" w:oddHBand="0" w:evenHBand="0" w:firstRowFirstColumn="0" w:firstRowLastColumn="0" w:lastRowFirstColumn="0" w:lastRowLastColumn="0"/>
            <w:tcW w:w="1406" w:type="dxa"/>
          </w:tcPr>
          <w:p w14:paraId="0B1D2E07"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31</w:t>
            </w:r>
          </w:p>
        </w:tc>
        <w:tc>
          <w:tcPr>
            <w:tcW w:w="1407" w:type="dxa"/>
          </w:tcPr>
          <w:p w14:paraId="797B8680"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16</w:t>
            </w:r>
          </w:p>
        </w:tc>
        <w:tc>
          <w:tcPr>
            <w:cnfStyle w:val="000010000000" w:firstRow="0" w:lastRow="0" w:firstColumn="0" w:lastColumn="0" w:oddVBand="1" w:evenVBand="0" w:oddHBand="0" w:evenHBand="0" w:firstRowFirstColumn="0" w:firstRowLastColumn="0" w:lastRowFirstColumn="0" w:lastRowLastColumn="0"/>
            <w:tcW w:w="1407" w:type="dxa"/>
          </w:tcPr>
          <w:p w14:paraId="12E3D30A"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9</w:t>
            </w:r>
          </w:p>
        </w:tc>
      </w:tr>
      <w:tr w:rsidR="00BE67EE" w:rsidRPr="00993978" w14:paraId="71157ABE" w14:textId="77777777" w:rsidTr="00195B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400" w:type="dxa"/>
          </w:tcPr>
          <w:p w14:paraId="01841E0D"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Забезпечення конфіденційності онлайн</w:t>
            </w:r>
          </w:p>
        </w:tc>
        <w:tc>
          <w:tcPr>
            <w:tcW w:w="1406" w:type="dxa"/>
          </w:tcPr>
          <w:p w14:paraId="448194BE"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50</w:t>
            </w:r>
          </w:p>
        </w:tc>
        <w:tc>
          <w:tcPr>
            <w:cnfStyle w:val="000010000000" w:firstRow="0" w:lastRow="0" w:firstColumn="0" w:lastColumn="0" w:oddVBand="1" w:evenVBand="0" w:oddHBand="0" w:evenHBand="0" w:firstRowFirstColumn="0" w:firstRowLastColumn="0" w:lastRowFirstColumn="0" w:lastRowLastColumn="0"/>
            <w:tcW w:w="1406" w:type="dxa"/>
          </w:tcPr>
          <w:p w14:paraId="3A340375"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28</w:t>
            </w:r>
          </w:p>
        </w:tc>
        <w:tc>
          <w:tcPr>
            <w:tcW w:w="1407" w:type="dxa"/>
          </w:tcPr>
          <w:p w14:paraId="78757AEA" w14:textId="77777777" w:rsidR="00BE67EE" w:rsidRPr="00993978" w:rsidRDefault="00BE67EE" w:rsidP="0010463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13</w:t>
            </w:r>
          </w:p>
        </w:tc>
        <w:tc>
          <w:tcPr>
            <w:cnfStyle w:val="000010000000" w:firstRow="0" w:lastRow="0" w:firstColumn="0" w:lastColumn="0" w:oddVBand="1" w:evenVBand="0" w:oddHBand="0" w:evenHBand="0" w:firstRowFirstColumn="0" w:firstRowLastColumn="0" w:lastRowFirstColumn="0" w:lastRowLastColumn="0"/>
            <w:tcW w:w="1407" w:type="dxa"/>
          </w:tcPr>
          <w:p w14:paraId="4DF953ED"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9</w:t>
            </w:r>
          </w:p>
        </w:tc>
      </w:tr>
      <w:tr w:rsidR="00BE67EE" w:rsidRPr="00993978" w14:paraId="2DDE7D49" w14:textId="77777777" w:rsidTr="00195BDA">
        <w:tc>
          <w:tcPr>
            <w:cnfStyle w:val="000010000000" w:firstRow="0" w:lastRow="0" w:firstColumn="0" w:lastColumn="0" w:oddVBand="1" w:evenVBand="0" w:oddHBand="0" w:evenHBand="0" w:firstRowFirstColumn="0" w:firstRowLastColumn="0" w:lastRowFirstColumn="0" w:lastRowLastColumn="0"/>
            <w:tcW w:w="3400" w:type="dxa"/>
          </w:tcPr>
          <w:p w14:paraId="6012CE72" w14:textId="77777777" w:rsidR="00BE67EE" w:rsidRPr="00993978" w:rsidRDefault="00BE67EE" w:rsidP="00104637">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Документування цифрових консультацій</w:t>
            </w:r>
          </w:p>
        </w:tc>
        <w:tc>
          <w:tcPr>
            <w:tcW w:w="1406" w:type="dxa"/>
          </w:tcPr>
          <w:p w14:paraId="4C86DC55"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34</w:t>
            </w:r>
          </w:p>
        </w:tc>
        <w:tc>
          <w:tcPr>
            <w:cnfStyle w:val="000010000000" w:firstRow="0" w:lastRow="0" w:firstColumn="0" w:lastColumn="0" w:oddVBand="1" w:evenVBand="0" w:oddHBand="0" w:evenHBand="0" w:firstRowFirstColumn="0" w:firstRowLastColumn="0" w:lastRowFirstColumn="0" w:lastRowLastColumn="0"/>
            <w:tcW w:w="1406" w:type="dxa"/>
          </w:tcPr>
          <w:p w14:paraId="6CBF7873"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38</w:t>
            </w:r>
          </w:p>
        </w:tc>
        <w:tc>
          <w:tcPr>
            <w:tcW w:w="1407" w:type="dxa"/>
          </w:tcPr>
          <w:p w14:paraId="087CD03D" w14:textId="77777777" w:rsidR="00BE67EE" w:rsidRPr="00993978" w:rsidRDefault="00BE67EE" w:rsidP="001046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eastAsia="ru-RU"/>
              </w:rPr>
            </w:pPr>
            <w:r>
              <w:rPr>
                <w:rFonts w:ascii="Times New Roman" w:eastAsia="Times New Roman" w:hAnsi="Times New Roman"/>
                <w:sz w:val="24"/>
                <w:lang w:val="uk-UA" w:eastAsia="ru-RU"/>
              </w:rPr>
              <w:t>19</w:t>
            </w:r>
          </w:p>
        </w:tc>
        <w:tc>
          <w:tcPr>
            <w:cnfStyle w:val="000010000000" w:firstRow="0" w:lastRow="0" w:firstColumn="0" w:lastColumn="0" w:oddVBand="1" w:evenVBand="0" w:oddHBand="0" w:evenHBand="0" w:firstRowFirstColumn="0" w:firstRowLastColumn="0" w:lastRowFirstColumn="0" w:lastRowLastColumn="0"/>
            <w:tcW w:w="1407" w:type="dxa"/>
          </w:tcPr>
          <w:p w14:paraId="374D5C66" w14:textId="77777777" w:rsidR="00BE67EE" w:rsidRPr="00993978" w:rsidRDefault="00BE67EE" w:rsidP="00104637">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9</w:t>
            </w:r>
          </w:p>
        </w:tc>
      </w:tr>
    </w:tbl>
    <w:p w14:paraId="4B793741" w14:textId="77777777" w:rsidR="00985C64" w:rsidRDefault="00985C64" w:rsidP="00BE67EE">
      <w:pPr>
        <w:spacing w:after="0" w:line="360" w:lineRule="auto"/>
        <w:ind w:firstLine="710"/>
        <w:jc w:val="both"/>
        <w:rPr>
          <w:rFonts w:ascii="Times New Roman" w:eastAsia="Times New Roman" w:hAnsi="Times New Roman"/>
          <w:sz w:val="28"/>
          <w:szCs w:val="28"/>
          <w:lang w:val="uk-UA" w:eastAsia="ru-RU"/>
        </w:rPr>
      </w:pPr>
    </w:p>
    <w:p w14:paraId="04499B5F"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Дані Таблиці 3.3. свідчать, що базовий рівень компетентностей переважає у більшості позицій. Особливо критичним є стан компетентності у сфері забезпечення конфіденційності онлайн – половина опитаних (50%) оцінює свій рівень лише як базовий, що становить серйозний ризик для якості та безпеки цифрових консультацій. Найвищий рівень компетентності фіксується щодо використання месенджерів (75% мають достатній або добрий рівень), що корелює з даними про мессенджери як найпоширеніший канал цифрових комунікацій.</w:t>
      </w:r>
    </w:p>
    <w:p w14:paraId="16DA4E6D"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Результати структурованих інтерв'ю з керівниками соціальних служб (n=4).</w:t>
      </w:r>
    </w:p>
    <w:p w14:paraId="4FFF66F1" w14:textId="6826EA1C" w:rsidR="00BE67EE"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Матеріали інтерв'ю дозволили виявити системні чинники, що обмежують якість цифрових консультаційних практик. Усі чотири респонденти підкреслили відсутність затвердженого стандарту надання цифрових консультацій на рівні служби чи відомства. Троє з чотирьох вказали на брак технічного оснащення (застарілі комп'ютери, відсутність ліцензованого ПЗ для відеоконференцій). Характерним є таке висловлювання одного з керівників: «Ми фактично самі формуємо правила гри в цифровому просторі, бо зверху ніхто не сказав, як правильно. Кожна служба робить по-своєму». Ця ситуація нормативного вакууму є, мабуть, ключовою системною проблемою, що впливає на якість цифрових консультацій.</w:t>
      </w:r>
    </w:p>
    <w:p w14:paraId="37F01A4D" w14:textId="77777777" w:rsidR="00195BDA" w:rsidRPr="00993978" w:rsidRDefault="00195BDA" w:rsidP="00BE67EE">
      <w:pPr>
        <w:spacing w:after="0" w:line="360" w:lineRule="auto"/>
        <w:ind w:firstLine="710"/>
        <w:jc w:val="both"/>
        <w:rPr>
          <w:rFonts w:ascii="Times New Roman" w:eastAsia="Times New Roman" w:hAnsi="Times New Roman"/>
          <w:sz w:val="28"/>
          <w:szCs w:val="28"/>
          <w:lang w:val="uk-UA" w:eastAsia="ru-RU"/>
        </w:rPr>
      </w:pPr>
    </w:p>
    <w:p w14:paraId="141CFFFF"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3.3. Перспективи вдосконалення цифрових консультаційних практик у системі соціальної роботи</w:t>
      </w:r>
    </w:p>
    <w:p w14:paraId="3795A850"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0366D444"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підставі результатів емпіричного дослідження, а також аналізу зарубіжного досвіду, представленого у першому та другому розділах роботи, нами розроблено систему рекомендацій щодо вдосконалення цифрових консультаційних практик у соціальній роботі. Ці рекомендації структуровано за чотирма рівнями: інституційним (служба), регіональним (орган місцевого самоврядування), загальнонаціональним (Мінсоцполітики) та рівнем фахівця.</w:t>
      </w:r>
    </w:p>
    <w:p w14:paraId="1AE9E7F5"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Рівень 1. Рекомендації на рівні соціальної служби.</w:t>
      </w:r>
    </w:p>
    <w:p w14:paraId="1A745EC6"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Першочерговим кроком є </w:t>
      </w:r>
      <w:r>
        <w:rPr>
          <w:rFonts w:ascii="Times New Roman" w:eastAsia="Times New Roman" w:hAnsi="Times New Roman"/>
          <w:bCs/>
          <w:sz w:val="28"/>
          <w:szCs w:val="28"/>
          <w:lang w:val="uk-UA" w:eastAsia="ru-RU"/>
        </w:rPr>
        <w:t>розробка та впровадження внутрішнього стандарту якості цифрових консультацій</w:t>
      </w:r>
      <w:r>
        <w:rPr>
          <w:rFonts w:ascii="Times New Roman" w:eastAsia="Times New Roman" w:hAnsi="Times New Roman"/>
          <w:sz w:val="28"/>
          <w:szCs w:val="28"/>
          <w:lang w:val="uk-UA" w:eastAsia="ru-RU"/>
        </w:rPr>
        <w:t xml:space="preserve"> на рівні служби. Такий стандарт має визначати: типові алгоритми ведення консультації у кожному цифровому каналі (відео, месенджер, чат-бот); вимоги до технічного оснащення робочого місця фахівця; процедури забезпечення конфіденційності; порядок документування цифрових консультацій; механізм збору та обробки зворотного зв'язку від клієнтів. Стандарт доцільно розробляти партисипаторно – із залученням самих фахівців, що підвищить рівень їхньої прихильності до його виконання [Закон № 2671, 2019].</w:t>
      </w:r>
    </w:p>
    <w:p w14:paraId="7D649151"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Важливим є також запровадження </w:t>
      </w:r>
      <w:r>
        <w:rPr>
          <w:rFonts w:ascii="Times New Roman" w:eastAsia="Times New Roman" w:hAnsi="Times New Roman"/>
          <w:bCs/>
          <w:sz w:val="28"/>
          <w:szCs w:val="28"/>
          <w:lang w:val="uk-UA" w:eastAsia="ru-RU"/>
        </w:rPr>
        <w:t>системи регулярного збору зворотного зв'язку</w:t>
      </w:r>
      <w:r>
        <w:rPr>
          <w:rFonts w:ascii="Times New Roman" w:eastAsia="Times New Roman" w:hAnsi="Times New Roman"/>
          <w:sz w:val="28"/>
          <w:szCs w:val="28"/>
          <w:lang w:val="uk-UA" w:eastAsia="ru-RU"/>
        </w:rPr>
        <w:t xml:space="preserve"> від клієнтів після кожної цифрової консультації. Нескладна автоматизована форма (2–3 питання у месенджері після завершення консультації) дозволить систематично відстежувати динаміку задоволеності та оперативно реагувати на падіння якості. Результати нашого дослідження показали, що наразі лише 18% служб систематично збирають зворотний зв'язок після цифрових консультацій – тоді як у Норвегії (NAV) цей показник досягає 82%.</w:t>
      </w:r>
    </w:p>
    <w:p w14:paraId="1627C3E5"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Рівень 2. Рекомендації на рівні регіону та громади.</w:t>
      </w:r>
    </w:p>
    <w:p w14:paraId="0E92D839"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регіональному рівні ключовим пріоритетом є </w:t>
      </w:r>
      <w:r>
        <w:rPr>
          <w:rFonts w:ascii="Times New Roman" w:eastAsia="Times New Roman" w:hAnsi="Times New Roman"/>
          <w:bCs/>
          <w:sz w:val="28"/>
          <w:szCs w:val="28"/>
          <w:lang w:val="uk-UA" w:eastAsia="ru-RU"/>
        </w:rPr>
        <w:t>розвиток «цифрових посередників»</w:t>
      </w:r>
      <w:r>
        <w:rPr>
          <w:rFonts w:ascii="Times New Roman" w:eastAsia="Times New Roman" w:hAnsi="Times New Roman"/>
          <w:sz w:val="28"/>
          <w:szCs w:val="28"/>
          <w:lang w:val="uk-UA" w:eastAsia="ru-RU"/>
        </w:rPr>
        <w:t xml:space="preserve"> (digital mediators) – волонтерів або фахівців, підготовлених для допомоги особам з низькою цифровою грамотністю у доступі до цифрових соціальних послуг. Ця модель успішно реалізована у Швеції та Фінляндії і може бути адаптована для умов Ізмаїльського району, де виявлено значну частку осіб похилого віку з низькою цифровою компетентністю. Кандидатами на роль цифрових посередників можуть бути студенти соціальних спеціальностей, що одночасно вирішує завдання їхньої практичної підготовки [Іванова, 2023].</w:t>
      </w:r>
    </w:p>
    <w:p w14:paraId="327DC6BE"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Водночас регіональний рівень має забезпечити </w:t>
      </w:r>
      <w:r>
        <w:rPr>
          <w:rFonts w:ascii="Times New Roman" w:eastAsia="Times New Roman" w:hAnsi="Times New Roman"/>
          <w:bCs/>
          <w:sz w:val="28"/>
          <w:szCs w:val="28"/>
          <w:lang w:val="uk-UA" w:eastAsia="ru-RU"/>
        </w:rPr>
        <w:t>вирішення інфраструктурних бар'єрів</w:t>
      </w:r>
      <w:r>
        <w:rPr>
          <w:rFonts w:ascii="Times New Roman" w:eastAsia="Times New Roman" w:hAnsi="Times New Roman"/>
          <w:sz w:val="28"/>
          <w:szCs w:val="28"/>
          <w:lang w:val="uk-UA" w:eastAsia="ru-RU"/>
        </w:rPr>
        <w:t xml:space="preserve"> – насамперед доступу до стабільного широкосмугового інтернету у сільській місцевості та надання соціально незахищеним сім'ям субсидованого доступу до базових цифрових пристроїв. Без вирішення цих структурних питань будь-які зусилля з покращення якості цифрових послуг матимуть обмежений ефект для найбільш вразливих категорій.</w:t>
      </w:r>
    </w:p>
    <w:p w14:paraId="1E3E3E2B"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Рівень 3. Рекомендації на загальнонаціональному рівні.</w:t>
      </w:r>
    </w:p>
    <w:p w14:paraId="54E3B49D"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загальнодержавному рівні найважливішим завданням є </w:t>
      </w:r>
      <w:r>
        <w:rPr>
          <w:rFonts w:ascii="Times New Roman" w:eastAsia="Times New Roman" w:hAnsi="Times New Roman"/>
          <w:bCs/>
          <w:sz w:val="28"/>
          <w:szCs w:val="28"/>
          <w:lang w:val="uk-UA" w:eastAsia="ru-RU"/>
        </w:rPr>
        <w:t>розробка та затвердження Державного стандарту цифрових соціальних консультацій</w:t>
      </w:r>
      <w:r>
        <w:rPr>
          <w:rFonts w:ascii="Times New Roman" w:eastAsia="Times New Roman" w:hAnsi="Times New Roman"/>
          <w:sz w:val="28"/>
          <w:szCs w:val="28"/>
          <w:lang w:val="uk-UA" w:eastAsia="ru-RU"/>
        </w:rPr>
        <w:t>. Результати нашого дослідження показали, що відсутність такого стандарту є основною системною проблемою. Стандарт має врегулювати: вимоги до платформ для цифрових консультацій (з урахуванням GDPR та вітчизняного законодавства про захист персональних даних); кваліфікаційні вимоги до фахівців з цифрових компетентностей; мінімальні вимоги до технічного оснащення служби; обов'язкові компоненти оцінювання якості та механізми підзвітності [Карпенко, 2022].</w:t>
      </w:r>
    </w:p>
    <w:p w14:paraId="3E94BF54" w14:textId="77777777" w:rsidR="00104637" w:rsidRPr="00993978" w:rsidRDefault="00BE67EE" w:rsidP="00104637">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Не менш важливим є </w:t>
      </w:r>
      <w:r>
        <w:rPr>
          <w:rFonts w:ascii="Times New Roman" w:eastAsia="Times New Roman" w:hAnsi="Times New Roman"/>
          <w:bCs/>
          <w:sz w:val="28"/>
          <w:szCs w:val="28"/>
          <w:lang w:val="uk-UA" w:eastAsia="ru-RU"/>
        </w:rPr>
        <w:t>включення цифрових компетентностей до стандарту вищої освіти зі спеціальності «Соціальна робота»</w:t>
      </w:r>
      <w:r>
        <w:rPr>
          <w:rFonts w:ascii="Times New Roman" w:eastAsia="Times New Roman" w:hAnsi="Times New Roman"/>
          <w:sz w:val="28"/>
          <w:szCs w:val="28"/>
          <w:lang w:val="uk-UA" w:eastAsia="ru-RU"/>
        </w:rPr>
        <w:t>. Результати дослідження показали, що 56% практикуючих соціальних працівників вважають свій рівень цифрових консультацій, основи кібербезпеки та захисту персональних даних, а також навички використання CRM-систем.</w:t>
      </w:r>
    </w:p>
    <w:p w14:paraId="6B7CE09D" w14:textId="77777777" w:rsidR="00104637" w:rsidRPr="00993978" w:rsidRDefault="00104637" w:rsidP="00104637">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Рівень 4. Рекомендації на рівні фахівця.</w:t>
      </w:r>
    </w:p>
    <w:p w14:paraId="30C1E4D7" w14:textId="77777777" w:rsidR="00BE67EE" w:rsidRPr="00993978" w:rsidRDefault="00BE67EE" w:rsidP="00104637">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цифрових навичок недостатнім – що свідчить про системну прогалину у підготовці кадрів. Програми підготовки мають включати практику проведення </w:t>
      </w:r>
    </w:p>
    <w:p w14:paraId="1974E50C"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рівні окремого соціального працівника пропонується </w:t>
      </w:r>
      <w:r>
        <w:rPr>
          <w:rFonts w:ascii="Times New Roman" w:eastAsia="Times New Roman" w:hAnsi="Times New Roman"/>
          <w:bCs/>
          <w:sz w:val="28"/>
          <w:szCs w:val="28"/>
          <w:lang w:val="uk-UA" w:eastAsia="ru-RU"/>
        </w:rPr>
        <w:t>модель компетентностей для цифрового консультування</w:t>
      </w:r>
      <w:r>
        <w:rPr>
          <w:rFonts w:ascii="Times New Roman" w:eastAsia="Times New Roman" w:hAnsi="Times New Roman"/>
          <w:sz w:val="28"/>
          <w:szCs w:val="28"/>
          <w:lang w:val="uk-UA" w:eastAsia="ru-RU"/>
        </w:rPr>
        <w:t xml:space="preserve"> (Digital Social Work Competency Framework), що включає три компоненти: технічні навички (володіння цифровими інструментами); методичні навички (адаптація методів соціальної роботи до цифрового формату, збереження «терапевтичного альянсу» онлайн); та етичні навички (забезпечення конфіденційності, отримання поінформованої згоди, реагування на кризові ситуації у дистанційному форматі) [Іванова, 2023].</w:t>
      </w:r>
    </w:p>
    <w:p w14:paraId="3483C824" w14:textId="77777777" w:rsidR="00BE67EE" w:rsidRPr="00993978" w:rsidRDefault="00BE67EE" w:rsidP="00BE67EE">
      <w:pPr>
        <w:spacing w:after="0" w:line="360" w:lineRule="auto"/>
        <w:jc w:val="right"/>
        <w:rPr>
          <w:rFonts w:ascii="Times New Roman" w:eastAsia="Times New Roman" w:hAnsi="Times New Roman"/>
          <w:b/>
          <w:bCs/>
          <w:iCs/>
          <w:sz w:val="28"/>
          <w:szCs w:val="26"/>
          <w:lang w:val="uk-UA" w:eastAsia="ru-RU"/>
        </w:rPr>
      </w:pPr>
      <w:r>
        <w:rPr>
          <w:rFonts w:ascii="Times New Roman" w:eastAsia="Times New Roman" w:hAnsi="Times New Roman"/>
          <w:b/>
          <w:bCs/>
          <w:iCs/>
          <w:sz w:val="28"/>
          <w:szCs w:val="26"/>
          <w:lang w:val="uk-UA" w:eastAsia="ru-RU"/>
        </w:rPr>
        <w:t xml:space="preserve">Таблиця 3.4. </w:t>
      </w:r>
    </w:p>
    <w:p w14:paraId="3EA1CB32" w14:textId="77777777" w:rsidR="00BE67EE" w:rsidRPr="00993978" w:rsidRDefault="00BE67EE" w:rsidP="00BE67EE">
      <w:pPr>
        <w:spacing w:after="0" w:line="360" w:lineRule="auto"/>
        <w:jc w:val="center"/>
        <w:rPr>
          <w:rFonts w:ascii="Times New Roman" w:eastAsia="Times New Roman" w:hAnsi="Times New Roman"/>
          <w:sz w:val="32"/>
          <w:szCs w:val="28"/>
          <w:lang w:val="uk-UA" w:eastAsia="ru-RU"/>
        </w:rPr>
      </w:pPr>
      <w:r>
        <w:rPr>
          <w:rFonts w:ascii="Times New Roman" w:eastAsia="Times New Roman" w:hAnsi="Times New Roman"/>
          <w:b/>
          <w:bCs/>
          <w:iCs/>
          <w:sz w:val="28"/>
          <w:szCs w:val="26"/>
          <w:lang w:val="uk-UA" w:eastAsia="ru-RU"/>
        </w:rPr>
        <w:t>Матриця рекомендацій щодо вдосконалення цифрових консультаційних практик</w:t>
      </w:r>
    </w:p>
    <w:tbl>
      <w:tblPr>
        <w:tblStyle w:val="GridTable1Light"/>
        <w:tblW w:w="9026" w:type="dxa"/>
        <w:tblLook w:val="0000" w:firstRow="0" w:lastRow="0" w:firstColumn="0" w:lastColumn="0" w:noHBand="0" w:noVBand="0"/>
      </w:tblPr>
      <w:tblGrid>
        <w:gridCol w:w="1500"/>
        <w:gridCol w:w="3026"/>
        <w:gridCol w:w="2000"/>
        <w:gridCol w:w="2500"/>
      </w:tblGrid>
      <w:tr w:rsidR="00BE67EE" w:rsidRPr="00993978" w14:paraId="39C09D2E" w14:textId="77777777" w:rsidTr="00195BDA">
        <w:tc>
          <w:tcPr>
            <w:tcW w:w="1500" w:type="dxa"/>
          </w:tcPr>
          <w:p w14:paraId="5FFD06E4"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Рівень</w:t>
            </w:r>
          </w:p>
        </w:tc>
        <w:tc>
          <w:tcPr>
            <w:tcW w:w="3026" w:type="dxa"/>
          </w:tcPr>
          <w:p w14:paraId="08FE4ED8"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Рекомендація</w:t>
            </w:r>
          </w:p>
        </w:tc>
        <w:tc>
          <w:tcPr>
            <w:tcW w:w="2000" w:type="dxa"/>
          </w:tcPr>
          <w:p w14:paraId="1F236B2B"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Виконавець</w:t>
            </w:r>
          </w:p>
        </w:tc>
        <w:tc>
          <w:tcPr>
            <w:tcW w:w="2500" w:type="dxa"/>
          </w:tcPr>
          <w:p w14:paraId="2CD31B07"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b/>
                <w:bCs/>
                <w:sz w:val="24"/>
                <w:lang w:val="uk-UA" w:eastAsia="ru-RU"/>
              </w:rPr>
              <w:t>Очікуваний результат</w:t>
            </w:r>
          </w:p>
        </w:tc>
      </w:tr>
      <w:tr w:rsidR="00BE67EE" w:rsidRPr="00993978" w14:paraId="2B8D6DF4" w14:textId="77777777" w:rsidTr="00195BDA">
        <w:tc>
          <w:tcPr>
            <w:tcW w:w="1500" w:type="dxa"/>
          </w:tcPr>
          <w:p w14:paraId="2D5ACC0C"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Служба</w:t>
            </w:r>
          </w:p>
        </w:tc>
        <w:tc>
          <w:tcPr>
            <w:tcW w:w="3026" w:type="dxa"/>
          </w:tcPr>
          <w:p w14:paraId="0F52B623"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Внутрішній стандарт цифрових консультацій</w:t>
            </w:r>
          </w:p>
        </w:tc>
        <w:tc>
          <w:tcPr>
            <w:tcW w:w="2000" w:type="dxa"/>
          </w:tcPr>
          <w:p w14:paraId="7322250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Керівник служби</w:t>
            </w:r>
          </w:p>
        </w:tc>
        <w:tc>
          <w:tcPr>
            <w:tcW w:w="2500" w:type="dxa"/>
          </w:tcPr>
          <w:p w14:paraId="7FF31584"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Уніфікація якості, зменшення варіативності</w:t>
            </w:r>
          </w:p>
        </w:tc>
      </w:tr>
      <w:tr w:rsidR="00BE67EE" w:rsidRPr="00993978" w14:paraId="266E145A" w14:textId="77777777" w:rsidTr="00195BDA">
        <w:tc>
          <w:tcPr>
            <w:tcW w:w="1500" w:type="dxa"/>
          </w:tcPr>
          <w:p w14:paraId="6BBFED00"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Служба</w:t>
            </w:r>
          </w:p>
        </w:tc>
        <w:tc>
          <w:tcPr>
            <w:tcW w:w="3026" w:type="dxa"/>
          </w:tcPr>
          <w:p w14:paraId="3CF3FE27"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Автоматизована система зворотного зв'язку після кожної консультації</w:t>
            </w:r>
          </w:p>
        </w:tc>
        <w:tc>
          <w:tcPr>
            <w:tcW w:w="2000" w:type="dxa"/>
          </w:tcPr>
          <w:p w14:paraId="776A006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IT-фахівець, методист</w:t>
            </w:r>
          </w:p>
        </w:tc>
        <w:tc>
          <w:tcPr>
            <w:tcW w:w="2500" w:type="dxa"/>
          </w:tcPr>
          <w:p w14:paraId="389E27EA"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Безперервний моніторинг якості</w:t>
            </w:r>
          </w:p>
        </w:tc>
      </w:tr>
      <w:tr w:rsidR="00BE67EE" w:rsidRPr="00993978" w14:paraId="13D250C7" w14:textId="77777777" w:rsidTr="00195BDA">
        <w:tc>
          <w:tcPr>
            <w:tcW w:w="1500" w:type="dxa"/>
          </w:tcPr>
          <w:p w14:paraId="680F7A17"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Регіон</w:t>
            </w:r>
          </w:p>
        </w:tc>
        <w:tc>
          <w:tcPr>
            <w:tcW w:w="3026" w:type="dxa"/>
          </w:tcPr>
          <w:p w14:paraId="34CBA371"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Навчання «цифрових посередників» для вразливих груп</w:t>
            </w:r>
          </w:p>
        </w:tc>
        <w:tc>
          <w:tcPr>
            <w:tcW w:w="2000" w:type="dxa"/>
          </w:tcPr>
          <w:p w14:paraId="0349ECCA"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ОМС, вищі навч. заклади</w:t>
            </w:r>
          </w:p>
        </w:tc>
        <w:tc>
          <w:tcPr>
            <w:tcW w:w="2500" w:type="dxa"/>
          </w:tcPr>
          <w:p w14:paraId="460DA07A"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Зниження цифрового розриву для 60+ та осіб з інвалідністю</w:t>
            </w:r>
          </w:p>
        </w:tc>
      </w:tr>
      <w:tr w:rsidR="00BE67EE" w:rsidRPr="00993978" w14:paraId="193E8E01" w14:textId="77777777" w:rsidTr="00195BDA">
        <w:tc>
          <w:tcPr>
            <w:tcW w:w="1500" w:type="dxa"/>
          </w:tcPr>
          <w:p w14:paraId="06718E5B"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Регіон</w:t>
            </w:r>
          </w:p>
        </w:tc>
        <w:tc>
          <w:tcPr>
            <w:tcW w:w="3026" w:type="dxa"/>
          </w:tcPr>
          <w:p w14:paraId="4D6EE50A"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Субсидована програма цифрового доступу для вразливих сімей</w:t>
            </w:r>
          </w:p>
        </w:tc>
        <w:tc>
          <w:tcPr>
            <w:tcW w:w="2000" w:type="dxa"/>
          </w:tcPr>
          <w:p w14:paraId="3255A260"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ОМС, ДСНП</w:t>
            </w:r>
          </w:p>
        </w:tc>
        <w:tc>
          <w:tcPr>
            <w:tcW w:w="2500" w:type="dxa"/>
          </w:tcPr>
          <w:p w14:paraId="1A430C60"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Усунення інфраструктурних бар'єрів</w:t>
            </w:r>
          </w:p>
        </w:tc>
      </w:tr>
      <w:tr w:rsidR="00BE67EE" w:rsidRPr="00993978" w14:paraId="06B85ACE" w14:textId="77777777" w:rsidTr="00195BDA">
        <w:tc>
          <w:tcPr>
            <w:tcW w:w="1500" w:type="dxa"/>
          </w:tcPr>
          <w:p w14:paraId="0FDA68A6"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Держава</w:t>
            </w:r>
          </w:p>
        </w:tc>
        <w:tc>
          <w:tcPr>
            <w:tcW w:w="3026" w:type="dxa"/>
          </w:tcPr>
          <w:p w14:paraId="48ED6931"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Державний стандарт цифрових соціальних консультацій</w:t>
            </w:r>
          </w:p>
        </w:tc>
        <w:tc>
          <w:tcPr>
            <w:tcW w:w="2000" w:type="dxa"/>
          </w:tcPr>
          <w:p w14:paraId="56E9622D"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Мінсоцполітики, Мінцифри</w:t>
            </w:r>
          </w:p>
        </w:tc>
        <w:tc>
          <w:tcPr>
            <w:tcW w:w="2500" w:type="dxa"/>
          </w:tcPr>
          <w:p w14:paraId="52684F5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Єдина нормативна база, підзвітність</w:t>
            </w:r>
          </w:p>
        </w:tc>
      </w:tr>
      <w:tr w:rsidR="00BE67EE" w:rsidRPr="00993978" w14:paraId="3A3EEB04" w14:textId="77777777" w:rsidTr="00195BDA">
        <w:tc>
          <w:tcPr>
            <w:tcW w:w="1500" w:type="dxa"/>
          </w:tcPr>
          <w:p w14:paraId="69804C07"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Держава</w:t>
            </w:r>
          </w:p>
        </w:tc>
        <w:tc>
          <w:tcPr>
            <w:tcW w:w="3026" w:type="dxa"/>
          </w:tcPr>
          <w:p w14:paraId="79F19569"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Цифрові компетентності в ОПП «Соціальна робота»</w:t>
            </w:r>
          </w:p>
        </w:tc>
        <w:tc>
          <w:tcPr>
            <w:tcW w:w="2000" w:type="dxa"/>
          </w:tcPr>
          <w:p w14:paraId="43FDDA6D"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МОН, вищі навч. заклади</w:t>
            </w:r>
          </w:p>
        </w:tc>
        <w:tc>
          <w:tcPr>
            <w:tcW w:w="2500" w:type="dxa"/>
          </w:tcPr>
          <w:p w14:paraId="7CB1560B"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Готовність нових кадрів до цифрової роботи</w:t>
            </w:r>
          </w:p>
        </w:tc>
      </w:tr>
      <w:tr w:rsidR="00BE67EE" w:rsidRPr="00993978" w14:paraId="50730350" w14:textId="77777777" w:rsidTr="00195BDA">
        <w:tc>
          <w:tcPr>
            <w:tcW w:w="1500" w:type="dxa"/>
          </w:tcPr>
          <w:p w14:paraId="1ACADE95" w14:textId="77777777" w:rsidR="00BE67EE" w:rsidRPr="00993978" w:rsidRDefault="00BE67EE" w:rsidP="00BE67EE">
            <w:pPr>
              <w:jc w:val="center"/>
              <w:rPr>
                <w:rFonts w:ascii="Times New Roman" w:eastAsia="Times New Roman" w:hAnsi="Times New Roman"/>
                <w:sz w:val="24"/>
                <w:szCs w:val="28"/>
                <w:lang w:val="uk-UA" w:eastAsia="ru-RU"/>
              </w:rPr>
            </w:pPr>
            <w:r>
              <w:rPr>
                <w:rFonts w:ascii="Times New Roman" w:eastAsia="Times New Roman" w:hAnsi="Times New Roman"/>
                <w:sz w:val="24"/>
                <w:lang w:val="uk-UA" w:eastAsia="ru-RU"/>
              </w:rPr>
              <w:t>Фахівець</w:t>
            </w:r>
          </w:p>
        </w:tc>
        <w:tc>
          <w:tcPr>
            <w:tcW w:w="3026" w:type="dxa"/>
          </w:tcPr>
          <w:p w14:paraId="73C9C3B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Освоєння Digital Social Work Competency Framework</w:t>
            </w:r>
          </w:p>
        </w:tc>
        <w:tc>
          <w:tcPr>
            <w:tcW w:w="2000" w:type="dxa"/>
          </w:tcPr>
          <w:p w14:paraId="1E65DED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Сам фахівець, методист</w:t>
            </w:r>
          </w:p>
        </w:tc>
        <w:tc>
          <w:tcPr>
            <w:tcW w:w="2500" w:type="dxa"/>
          </w:tcPr>
          <w:p w14:paraId="45225065" w14:textId="77777777" w:rsidR="00BE67EE" w:rsidRPr="00993978" w:rsidRDefault="00BE67EE" w:rsidP="00BE67EE">
            <w:pPr>
              <w:jc w:val="both"/>
              <w:rPr>
                <w:rFonts w:ascii="Times New Roman" w:eastAsia="Times New Roman" w:hAnsi="Times New Roman"/>
                <w:sz w:val="24"/>
                <w:szCs w:val="28"/>
                <w:lang w:val="uk-UA" w:eastAsia="ru-RU"/>
              </w:rPr>
            </w:pPr>
            <w:r>
              <w:rPr>
                <w:rFonts w:ascii="Times New Roman" w:eastAsia="Times New Roman" w:hAnsi="Times New Roman"/>
                <w:sz w:val="24"/>
                <w:lang w:val="uk-UA" w:eastAsia="ru-RU"/>
              </w:rPr>
              <w:t>Якісне, безпечне, емпатійне онлайн-консультування</w:t>
            </w:r>
          </w:p>
        </w:tc>
      </w:tr>
    </w:tbl>
    <w:p w14:paraId="6752FEFC" w14:textId="77777777" w:rsidR="00BE67EE" w:rsidRPr="00993978" w:rsidRDefault="00BE67EE" w:rsidP="00BE67EE">
      <w:pPr>
        <w:spacing w:after="100" w:line="360" w:lineRule="auto"/>
        <w:jc w:val="both"/>
        <w:rPr>
          <w:rFonts w:ascii="Times New Roman" w:eastAsia="Times New Roman" w:hAnsi="Times New Roman"/>
          <w:sz w:val="28"/>
          <w:szCs w:val="28"/>
          <w:lang w:val="uk-UA" w:eastAsia="ru-RU"/>
        </w:rPr>
      </w:pPr>
    </w:p>
    <w:p w14:paraId="760CEB1A"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Окремою перспективною пропозицією є розробка </w:t>
      </w:r>
      <w:r>
        <w:rPr>
          <w:rFonts w:ascii="Times New Roman" w:eastAsia="Times New Roman" w:hAnsi="Times New Roman"/>
          <w:bCs/>
          <w:sz w:val="28"/>
          <w:szCs w:val="28"/>
          <w:lang w:val="uk-UA" w:eastAsia="ru-RU"/>
        </w:rPr>
        <w:t>гібридної моделі соціального обслуговування</w:t>
      </w:r>
      <w:r>
        <w:rPr>
          <w:rFonts w:ascii="Times New Roman" w:eastAsia="Times New Roman" w:hAnsi="Times New Roman"/>
          <w:sz w:val="28"/>
          <w:szCs w:val="28"/>
          <w:lang w:val="uk-UA" w:eastAsia="ru-RU"/>
        </w:rPr>
        <w:t xml:space="preserve"> («blended service delivery»), яка органічно поєднує цифровий та очний формати. Відповідно до цієї моделі: первинна консультація та моніторинг проводяться у цифровому форматі (месенджер/відео); складні випадки, кризові ситуації та клієнти з множинними потребами обслуговуються в очному форматі; навчання цифровим навичкам здійснюється у рамках очних зустрічей у центрах соціального обслуговування. Така модель максимально використовує переваги цифрових технологій (доступність, оперативність), одночасно зберігаючи можливість емпатійного, особистісного контакту там, де він найнеобхідніший. Дослідження у Великобританії (NISCC, 2023) показують, що гібридні моделі підвищують загальну задоволеність клієнтів на 18–23% порівняно з виключно цифровими чи виключно очними форматами [Карпенко, 2022].</w:t>
      </w:r>
    </w:p>
    <w:p w14:paraId="68A43150" w14:textId="77777777" w:rsidR="00BE67EE" w:rsidRPr="00993978" w:rsidRDefault="00BE67EE" w:rsidP="00BE67EE">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Важливою умовою успіху будь-яких вдосконалень є </w:t>
      </w:r>
      <w:r>
        <w:rPr>
          <w:rFonts w:ascii="Times New Roman" w:eastAsia="Times New Roman" w:hAnsi="Times New Roman"/>
          <w:bCs/>
          <w:sz w:val="28"/>
          <w:szCs w:val="28"/>
          <w:lang w:val="uk-UA" w:eastAsia="ru-RU"/>
        </w:rPr>
        <w:t>партисипаторне залучення самих клієнтів</w:t>
      </w:r>
      <w:r>
        <w:rPr>
          <w:rFonts w:ascii="Times New Roman" w:eastAsia="Times New Roman" w:hAnsi="Times New Roman"/>
          <w:sz w:val="28"/>
          <w:szCs w:val="28"/>
          <w:lang w:val="uk-UA" w:eastAsia="ru-RU"/>
        </w:rPr>
        <w:t xml:space="preserve"> до проектування та вдосконалення цифрових послуг. Результати нашого дослідження показали, що лише 12% відповідних служб практикує регулярні механізми залучення клієнтів до оцінювання та вдосконалення послуг. Запровадження «клієнтських рад» або фокус-груп за участю представників вразливих груп, де обговорюються питання якості цифрових консультацій, стало б важливим кроком до справжньої клієнтоцентричності у цифровому просторі [Кодекс етики, 2021].</w:t>
      </w:r>
    </w:p>
    <w:p w14:paraId="7E04C76A" w14:textId="77777777" w:rsidR="00BE67EE" w:rsidRPr="00993978" w:rsidRDefault="00BE67EE" w:rsidP="00F22ADF">
      <w:pPr>
        <w:spacing w:after="0" w:line="360" w:lineRule="auto"/>
        <w:ind w:firstLine="709"/>
        <w:jc w:val="both"/>
        <w:rPr>
          <w:rFonts w:ascii="Times New Roman" w:hAnsi="Times New Roman"/>
          <w:b/>
          <w:sz w:val="28"/>
          <w:szCs w:val="28"/>
          <w:lang w:val="uk-UA"/>
        </w:rPr>
      </w:pPr>
    </w:p>
    <w:p w14:paraId="1863294B" w14:textId="77777777" w:rsidR="00F22ADF" w:rsidRPr="00993978" w:rsidRDefault="00F22ADF" w:rsidP="00F22ADF">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3 розділу</w:t>
      </w:r>
    </w:p>
    <w:p w14:paraId="2F33D86C"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73026738" w14:textId="03466A65" w:rsidR="003F2356" w:rsidRPr="00993978" w:rsidRDefault="003F2356" w:rsidP="003F2356">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Емпіричне дослідження, проведене у рамках третього розділу кваліфікаційної роботи, дозволяє сформулювати такі висновки.</w:t>
      </w:r>
    </w:p>
    <w:p w14:paraId="3E3ED431" w14:textId="77777777" w:rsidR="003F2356" w:rsidRPr="00993978" w:rsidRDefault="003F2356" w:rsidP="003F2356">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По-перше</w:t>
      </w:r>
      <w:r>
        <w:rPr>
          <w:rFonts w:ascii="Times New Roman" w:eastAsia="Times New Roman" w:hAnsi="Times New Roman"/>
          <w:sz w:val="28"/>
          <w:szCs w:val="28"/>
          <w:lang w:val="uk-UA" w:eastAsia="ru-RU"/>
        </w:rPr>
        <w:t>, щодо рівня задоволеності якістю цифрових консультацій: інтегральний показник задоволеності становить 3,64 бала з 5 (63% задоволених), що відповідає помірному рівню якості. Найвищі оцінки отримала оперативність реагування (78% задоволених) – ключова перевага цифрового формату. Найнижчі – емпатія (49%) та доступність (55%), що відображає обмеження технологічної взаємодії та інфраструктурні бар'єри. Суттєвою є диференціація за категоріями: ветерани та ВПО демонструють найвищу задоволеність (81% і 74% відповідно), тоді як особи похилого віку – найнижчу (38%). Встановлено сильний зворотний кореляційний зв'язок між віком і задоволеністю цифровими послугами (r=-0,67; p&lt;0,01).</w:t>
      </w:r>
    </w:p>
    <w:p w14:paraId="0B5F3797" w14:textId="77777777" w:rsidR="003F2356" w:rsidRPr="00993978" w:rsidRDefault="003F2356" w:rsidP="003F2356">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По-друге</w:t>
      </w:r>
      <w:r>
        <w:rPr>
          <w:rFonts w:ascii="Times New Roman" w:eastAsia="Times New Roman" w:hAnsi="Times New Roman"/>
          <w:sz w:val="28"/>
          <w:szCs w:val="28"/>
          <w:lang w:val="uk-UA" w:eastAsia="ru-RU"/>
        </w:rPr>
        <w:t>, щодо бар'єрів доступу: основними є дефіцит цифрової грамотності (52%), відсутність/нестабільний інтернет (44%) та відсутність пристрою (31%). Принципово важливим є виявлений бар'єр недовіри до конфіденційності (29%), що потребує системної роботи зі зміцнення довіри до цифрових каналів комунікації. Опитування фахівців засвідчило критичні прогалини у цифровій компетентності: 50% мають лише базовий рівень навичок забезпечення онлайн-конфіденційності, а 47% вказали на відсутність методичних рекомендацій.</w:t>
      </w:r>
    </w:p>
    <w:p w14:paraId="5EE462E3" w14:textId="77777777" w:rsidR="003F2356" w:rsidRPr="00993978" w:rsidRDefault="003F2356" w:rsidP="003F2356">
      <w:pPr>
        <w:spacing w:after="0" w:line="360" w:lineRule="auto"/>
        <w:ind w:firstLine="71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По-третє</w:t>
      </w:r>
      <w:r>
        <w:rPr>
          <w:rFonts w:ascii="Times New Roman" w:eastAsia="Times New Roman" w:hAnsi="Times New Roman"/>
          <w:sz w:val="28"/>
          <w:szCs w:val="28"/>
          <w:lang w:val="uk-UA" w:eastAsia="ru-RU"/>
        </w:rPr>
        <w:t>, визначено чотирирівневу систему рекомендацій щодо вдосконалення цифрових консультаційних практик: на рівні служби – запровадження внутрішнього стандарту якості та системи зворотного зв'язку; на регіональному рівні – розвиток «цифрових посередників» та субсидовані програми цифрового доступу; на загальнодержавному рівні – прийняття Державного стандарту цифрових соціальних консультацій та включення цифрових компетентностей до ОПП «Соціальна робота»; на рівні фахівця – впровадження Digital Social Work Competency Framework. Перспективною моделлю є гібридне обслуговування, що поєднує цифровий та очний формати і підвищує загальну задоволеність на 18–23% (за даними NISCC, 2023).</w:t>
      </w:r>
    </w:p>
    <w:p w14:paraId="7AB27FCB" w14:textId="77777777" w:rsidR="00F22ADF" w:rsidRPr="00993978" w:rsidRDefault="00F22ADF" w:rsidP="00F22ADF">
      <w:pPr>
        <w:spacing w:after="0" w:line="360" w:lineRule="auto"/>
        <w:ind w:firstLine="709"/>
        <w:jc w:val="both"/>
        <w:rPr>
          <w:rFonts w:ascii="Times New Roman" w:hAnsi="Times New Roman"/>
          <w:b/>
          <w:sz w:val="28"/>
          <w:szCs w:val="28"/>
          <w:lang w:val="uk-UA"/>
        </w:rPr>
      </w:pPr>
    </w:p>
    <w:p w14:paraId="2CDD8D14" w14:textId="52D3A750" w:rsidR="00566A2B" w:rsidRDefault="00566A2B" w:rsidP="00F22ADF">
      <w:pPr>
        <w:spacing w:after="0" w:line="360" w:lineRule="auto"/>
        <w:ind w:firstLine="709"/>
        <w:jc w:val="both"/>
        <w:rPr>
          <w:rFonts w:ascii="Times New Roman" w:hAnsi="Times New Roman"/>
          <w:b/>
          <w:sz w:val="28"/>
          <w:szCs w:val="28"/>
          <w:lang w:val="uk-UA"/>
        </w:rPr>
      </w:pPr>
    </w:p>
    <w:p w14:paraId="1CC6813B" w14:textId="06586DC2" w:rsidR="00990A72" w:rsidRDefault="00990A72" w:rsidP="00F22ADF">
      <w:pPr>
        <w:spacing w:after="0" w:line="360" w:lineRule="auto"/>
        <w:ind w:firstLine="709"/>
        <w:jc w:val="both"/>
        <w:rPr>
          <w:rFonts w:ascii="Times New Roman" w:hAnsi="Times New Roman"/>
          <w:b/>
          <w:sz w:val="28"/>
          <w:szCs w:val="28"/>
          <w:lang w:val="uk-UA"/>
        </w:rPr>
      </w:pPr>
    </w:p>
    <w:p w14:paraId="09775D3C" w14:textId="43406B49" w:rsidR="00990A72" w:rsidRDefault="00990A72" w:rsidP="00F22ADF">
      <w:pPr>
        <w:spacing w:after="0" w:line="360" w:lineRule="auto"/>
        <w:ind w:firstLine="709"/>
        <w:jc w:val="both"/>
        <w:rPr>
          <w:rFonts w:ascii="Times New Roman" w:hAnsi="Times New Roman"/>
          <w:b/>
          <w:sz w:val="28"/>
          <w:szCs w:val="28"/>
          <w:lang w:val="uk-UA"/>
        </w:rPr>
      </w:pPr>
    </w:p>
    <w:p w14:paraId="1960BAF8" w14:textId="2EF181B4" w:rsidR="00990A72" w:rsidRDefault="00990A72" w:rsidP="00F22ADF">
      <w:pPr>
        <w:spacing w:after="0" w:line="360" w:lineRule="auto"/>
        <w:ind w:firstLine="709"/>
        <w:jc w:val="both"/>
        <w:rPr>
          <w:rFonts w:ascii="Times New Roman" w:hAnsi="Times New Roman"/>
          <w:b/>
          <w:sz w:val="28"/>
          <w:szCs w:val="28"/>
          <w:lang w:val="uk-UA"/>
        </w:rPr>
      </w:pPr>
    </w:p>
    <w:p w14:paraId="0209A66B" w14:textId="47420A0C" w:rsidR="00990A72" w:rsidRDefault="00990A72" w:rsidP="00F22ADF">
      <w:pPr>
        <w:spacing w:after="0" w:line="360" w:lineRule="auto"/>
        <w:ind w:firstLine="709"/>
        <w:jc w:val="both"/>
        <w:rPr>
          <w:rFonts w:ascii="Times New Roman" w:hAnsi="Times New Roman"/>
          <w:b/>
          <w:sz w:val="28"/>
          <w:szCs w:val="28"/>
          <w:lang w:val="uk-UA"/>
        </w:rPr>
      </w:pPr>
    </w:p>
    <w:p w14:paraId="4B884A86" w14:textId="469FD131" w:rsidR="00990A72" w:rsidRDefault="00990A72" w:rsidP="00F22ADF">
      <w:pPr>
        <w:spacing w:after="0" w:line="360" w:lineRule="auto"/>
        <w:ind w:firstLine="709"/>
        <w:jc w:val="both"/>
        <w:rPr>
          <w:rFonts w:ascii="Times New Roman" w:hAnsi="Times New Roman"/>
          <w:b/>
          <w:sz w:val="28"/>
          <w:szCs w:val="28"/>
          <w:lang w:val="uk-UA"/>
        </w:rPr>
      </w:pPr>
    </w:p>
    <w:p w14:paraId="7C292ED2" w14:textId="52F62F51" w:rsidR="00990A72" w:rsidRDefault="00990A72" w:rsidP="00F22ADF">
      <w:pPr>
        <w:spacing w:after="0" w:line="360" w:lineRule="auto"/>
        <w:ind w:firstLine="709"/>
        <w:jc w:val="both"/>
        <w:rPr>
          <w:rFonts w:ascii="Times New Roman" w:hAnsi="Times New Roman"/>
          <w:b/>
          <w:sz w:val="28"/>
          <w:szCs w:val="28"/>
          <w:lang w:val="uk-UA"/>
        </w:rPr>
      </w:pPr>
    </w:p>
    <w:p w14:paraId="4982082C" w14:textId="1C806058" w:rsidR="00990A72" w:rsidRDefault="00990A72" w:rsidP="00F22ADF">
      <w:pPr>
        <w:spacing w:after="0" w:line="360" w:lineRule="auto"/>
        <w:ind w:firstLine="709"/>
        <w:jc w:val="both"/>
        <w:rPr>
          <w:rFonts w:ascii="Times New Roman" w:hAnsi="Times New Roman"/>
          <w:b/>
          <w:sz w:val="28"/>
          <w:szCs w:val="28"/>
          <w:lang w:val="uk-UA"/>
        </w:rPr>
      </w:pPr>
    </w:p>
    <w:p w14:paraId="03FCDA14" w14:textId="1646D708" w:rsidR="00990A72" w:rsidRDefault="00990A72" w:rsidP="00F22ADF">
      <w:pPr>
        <w:spacing w:after="0" w:line="360" w:lineRule="auto"/>
        <w:ind w:firstLine="709"/>
        <w:jc w:val="both"/>
        <w:rPr>
          <w:rFonts w:ascii="Times New Roman" w:hAnsi="Times New Roman"/>
          <w:b/>
          <w:sz w:val="28"/>
          <w:szCs w:val="28"/>
          <w:lang w:val="uk-UA"/>
        </w:rPr>
      </w:pPr>
    </w:p>
    <w:p w14:paraId="36B4165D" w14:textId="35CABA10" w:rsidR="00990A72" w:rsidRDefault="00990A72" w:rsidP="00F22ADF">
      <w:pPr>
        <w:spacing w:after="0" w:line="360" w:lineRule="auto"/>
        <w:ind w:firstLine="709"/>
        <w:jc w:val="both"/>
        <w:rPr>
          <w:rFonts w:ascii="Times New Roman" w:hAnsi="Times New Roman"/>
          <w:b/>
          <w:sz w:val="28"/>
          <w:szCs w:val="28"/>
          <w:lang w:val="uk-UA"/>
        </w:rPr>
      </w:pPr>
    </w:p>
    <w:p w14:paraId="3D50CE35" w14:textId="60038B4A" w:rsidR="00990A72" w:rsidRDefault="00990A72" w:rsidP="00F22ADF">
      <w:pPr>
        <w:spacing w:after="0" w:line="360" w:lineRule="auto"/>
        <w:ind w:firstLine="709"/>
        <w:jc w:val="both"/>
        <w:rPr>
          <w:rFonts w:ascii="Times New Roman" w:hAnsi="Times New Roman"/>
          <w:b/>
          <w:sz w:val="28"/>
          <w:szCs w:val="28"/>
          <w:lang w:val="uk-UA"/>
        </w:rPr>
      </w:pPr>
    </w:p>
    <w:p w14:paraId="03036D07" w14:textId="357A6289" w:rsidR="00990A72" w:rsidRDefault="00990A72" w:rsidP="00F22ADF">
      <w:pPr>
        <w:spacing w:after="0" w:line="360" w:lineRule="auto"/>
        <w:ind w:firstLine="709"/>
        <w:jc w:val="both"/>
        <w:rPr>
          <w:rFonts w:ascii="Times New Roman" w:hAnsi="Times New Roman"/>
          <w:b/>
          <w:sz w:val="28"/>
          <w:szCs w:val="28"/>
          <w:lang w:val="uk-UA"/>
        </w:rPr>
      </w:pPr>
    </w:p>
    <w:p w14:paraId="3322F611" w14:textId="5F46C1EA" w:rsidR="00990A72" w:rsidRDefault="00990A72" w:rsidP="00F22ADF">
      <w:pPr>
        <w:spacing w:after="0" w:line="360" w:lineRule="auto"/>
        <w:ind w:firstLine="709"/>
        <w:jc w:val="both"/>
        <w:rPr>
          <w:rFonts w:ascii="Times New Roman" w:hAnsi="Times New Roman"/>
          <w:b/>
          <w:sz w:val="28"/>
          <w:szCs w:val="28"/>
          <w:lang w:val="uk-UA"/>
        </w:rPr>
      </w:pPr>
    </w:p>
    <w:p w14:paraId="388A22BF" w14:textId="77777777" w:rsidR="00990A72" w:rsidRPr="00993978" w:rsidRDefault="00990A72" w:rsidP="00F22ADF">
      <w:pPr>
        <w:spacing w:after="0" w:line="360" w:lineRule="auto"/>
        <w:ind w:firstLine="709"/>
        <w:jc w:val="both"/>
        <w:rPr>
          <w:rFonts w:ascii="Times New Roman" w:hAnsi="Times New Roman"/>
          <w:b/>
          <w:sz w:val="28"/>
          <w:szCs w:val="28"/>
          <w:lang w:val="uk-UA"/>
        </w:rPr>
      </w:pPr>
    </w:p>
    <w:p w14:paraId="4A79F555" w14:textId="77777777" w:rsidR="00566A2B" w:rsidRPr="00993978" w:rsidRDefault="00566A2B" w:rsidP="00F22ADF">
      <w:pPr>
        <w:spacing w:after="0" w:line="360" w:lineRule="auto"/>
        <w:ind w:firstLine="709"/>
        <w:jc w:val="both"/>
        <w:rPr>
          <w:rFonts w:ascii="Times New Roman" w:hAnsi="Times New Roman"/>
          <w:b/>
          <w:sz w:val="28"/>
          <w:szCs w:val="28"/>
          <w:lang w:val="uk-UA"/>
        </w:rPr>
      </w:pPr>
    </w:p>
    <w:p w14:paraId="667D6043" w14:textId="77777777" w:rsidR="00F22ADF" w:rsidRDefault="00F22ADF" w:rsidP="00985C64">
      <w:pPr>
        <w:tabs>
          <w:tab w:val="left" w:pos="6720"/>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ВИСНОВКИ</w:t>
      </w:r>
    </w:p>
    <w:p w14:paraId="72E2E60B" w14:textId="77777777" w:rsidR="00985C64" w:rsidRPr="00993978" w:rsidRDefault="00985C64" w:rsidP="00985C64">
      <w:pPr>
        <w:tabs>
          <w:tab w:val="left" w:pos="6720"/>
        </w:tabs>
        <w:spacing w:after="0" w:line="360" w:lineRule="auto"/>
        <w:ind w:firstLine="709"/>
        <w:jc w:val="center"/>
        <w:rPr>
          <w:rFonts w:ascii="Times New Roman" w:hAnsi="Times New Roman"/>
          <w:b/>
          <w:sz w:val="28"/>
          <w:szCs w:val="28"/>
          <w:lang w:val="uk-UA"/>
        </w:rPr>
      </w:pPr>
    </w:p>
    <w:p w14:paraId="05A02FEE" w14:textId="52106E22" w:rsidR="00F22ADF" w:rsidRPr="00993978" w:rsidRDefault="00A4690D"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Кваліфікаційна робота присвячена теоретичному обґрунтуванню та емпіричному дослідженню якості надання соціальних послуг під час проведення цифрових консультаційних практик. За результатами проведеного дослідження сформульовано такі загальні висновки.</w:t>
      </w:r>
    </w:p>
    <w:p w14:paraId="6D5B81B8"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Теоретичний аналіз засвідчив, що якість соціальних послуг є багатовимірним концептом, який охоплює нормативний, управлінський та клієнтоцентричний виміри. Ключовими аналітичними рамками для її оцінювання слугують модель SERVQUAL (Парасураман, Цайтгамл, Беррі, 1988), тривимірна модель Донабедіана (структура – процес – результат) та вимоги Закону України «Про соціальні послуги» (2019). Для цифрових форм надання послуг традиційні критерії якості (надійність, чуйність, емпатія, доступність, результативність) зберігають свою актуальність, але доповнюються специфічними цифровими вимірами: юзабіліті інтерфейсу, цифровою безпекою та конфіденційністю, якістю технічного зв’язку та цифровою компетентністю персоналу.</w:t>
      </w:r>
    </w:p>
    <w:p w14:paraId="6A8C5BE3"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Цифрові технології у соціальній роботі виконують три ключові функції: розширюють географічне охоплення послуг, підвищують оперативність реагування та оптимізують управлінські процеси. Водночас цифровізація соціальних послуг пов’язана з суттєвими ризиками –цифровим розривом між різними групами населення, послабленням терапевтичного альянсу між фахівцем і клієнтом, загрозами кібербезпеці та проблемою алгоритмічної упередженості в аналітичних системах. Аналіз показав, що більшість соціальних служб України освоїла базові комунікаційні цифрові інструменти (електронна пошта – 91%, месенджери – 84%), тоді як складніші рішення – CRM-системи (38%), мобільні застосунки (21%) і AI-аналітика (9%) – залишаються маловживаними, що свідчить про нерівномірність цифрової трансформації галузі.</w:t>
      </w:r>
    </w:p>
    <w:p w14:paraId="25AE10F9"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Порівняльний аналіз зарубіжного досвіду виявив значну диференціацію рівня розвитку цифрових консультаційних практик: від комплексних системних моделей (Естонія – 87% задоволеності, Норвегія –73%) до фрагментарних ініціатив (Польща – 54%, Україна – 47%). Ключовими чинниками успіху є чітка правова база, розвинена цифрова інфраструктура, системна підготовка персоналу та збереження альтернативних офлайн-каналів. Найперспективнішою моделлю визнано гібридне обслуговування, що поєднує переваги цифрового та очного форматів. В Україні цифровізація соціальних послуг прискорилася під впливом збройного конфлікту, проте залишається нескоординованою та позбавленою єдиних стандартів якості.</w:t>
      </w:r>
    </w:p>
    <w:p w14:paraId="21CDDD73"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Аналітична оцінка стану розвитку цифрових консультаційних платформ підтвердила, що сучасні платформи перетворилися на багатофункціональні системи, здатні забезпечувати подання заяв, отримання консультацій, моніторинг звернень та захищений обмін документами. Разом із тим зберігаються системні проблеми: цифрова нерівність населення, недостатня адаптованість платформ до потреб осіб з інвалідністю та людей похилого віку, фрагментарність міжвідомчої інтеграції та ризики витоку персональних даних. Встановлено, що цифрові технології суттєво трансформують професійну діяльність соціального працівника, змінюючи зміст діагностичної, комунікаційної та документаційної функцій і формуючи нові вимоги до цифрових компетентностей фахівця.</w:t>
      </w:r>
    </w:p>
    <w:p w14:paraId="71B55912"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Емпіричне дослідження, проведене на базі соціальних служб Ізмаїльського району Одеської області (n=120 отримувачів послуг, n=32 соціальні працівники, n=4 керівники служб), показало, що інтегральний показник задоволеності якістю цифрових консультацій становить 3,64 бала з 5 (63% задоволених), що відповідає помірному рівню якості. Найвищу оцінку отримала оперативність реагування (78% задоволених) – ключова перевага цифрового формату; найнижчу – вимір емпатії (49%), що відображає принципове обмеження дистанційної взаємодії. Встановлено сильний зворотний кореляційний зв’язок між віком респондента та рівнем задоволеності (r=−0,67; p&lt;0,01): ветерани та ВПО демонструють найвищу задоволеність (81% і 74% відповідно), тоді як особи похилого віку – найнижчу (38%).</w:t>
      </w:r>
    </w:p>
    <w:p w14:paraId="5526EEA4"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Виявлено множинність бар’єрів доступу до цифрових соціальних консультацій: дефіцит цифрової грамотності (52% опитаних, що стикалися з труднощами), відсутність або нестабільність інтернет-з’єднання (44%), брак цифрових пристроїв (31%) та недовіра до конфіденційності онлайн-каналів (29%). Опитування фахівців засвідчило критичні прогалини у цифровій компетентності персоналу: 50% соціальних працівників мають лише базовий рівень навичок забезпечення онлайн-конфіденційності, а 47% вказали на відсутність методичних рекомендацій щодо стандартів проведення цифрових консультацій. Інтерв’ю з керівниками служб підтвердило відсутність затвердженого відомчого стандарту цифрових консультацій як ключову системну проблему.</w:t>
      </w:r>
    </w:p>
    <w:p w14:paraId="519DE105"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результатів дослідження розроблено чотирирівневу систему рекомендацій щодо вдосконалення цифрових консультаційних практик. На рівні служби – запровадження внутрішнього стандарту якості та автоматизованої системи збору зворотного зв’язку після кожної консультації. На регіональному рівні – розвиток інституту «цифрових посередників» для підтримки осіб з низькою цифровою грамотністю та субсидовані програми цифрового доступу для вразливих сімей. На загальнодержавному рівні – прийняття Державного стандарту цифрових соціальних консультацій та включення цифрових компетентностей до освітньо-професійних програм підготовки соціальних працівників. На рівні фахівця – освоєння Digital Social Work Competency Framework, що охоплює технічні, методичні та етичні навички цифрового консультування.</w:t>
      </w:r>
    </w:p>
    <w:p w14:paraId="30CE55AF" w14:textId="77777777" w:rsidR="00F22ADF" w:rsidRPr="00993978" w:rsidRDefault="00F22ADF" w:rsidP="00F22A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Загалом проведене дослідження підтверджує, що цифрові консультаційні практики є важливим і перспективним інструментом підвищення доступності та ефективності соціальних послуг в Україні. Водночас реалізація їхнього потенціалу можлива лише за умов системного підходу: розробки єдиних стандартів якості, подолання цифрового розриву, підвищення цифрової компетентності персоналу та збереження гуманістичних цінностей соціальної роботи. Перспективою подальших досліджень є вивчення довгострокових ефектів упровадження гібридних моделей соціального обслуговування, розробка галузевих показників якості цифрових консультацій та оцінка ефективності програм цифрової медіації для вразливих груп населення.</w:t>
      </w:r>
    </w:p>
    <w:p w14:paraId="76B9DE62" w14:textId="2663D314" w:rsidR="00F22ADF" w:rsidRDefault="00F22ADF" w:rsidP="00F22ADF">
      <w:pPr>
        <w:spacing w:after="0" w:line="360" w:lineRule="auto"/>
        <w:ind w:firstLine="709"/>
        <w:jc w:val="both"/>
        <w:rPr>
          <w:rFonts w:ascii="Times New Roman" w:hAnsi="Times New Roman"/>
          <w:b/>
          <w:sz w:val="28"/>
          <w:szCs w:val="28"/>
          <w:lang w:val="uk-UA"/>
        </w:rPr>
      </w:pPr>
    </w:p>
    <w:p w14:paraId="5EA56A00" w14:textId="0AE063A3" w:rsidR="00990A72" w:rsidRDefault="00990A72" w:rsidP="00F22ADF">
      <w:pPr>
        <w:spacing w:after="0" w:line="360" w:lineRule="auto"/>
        <w:ind w:firstLine="709"/>
        <w:jc w:val="both"/>
        <w:rPr>
          <w:rFonts w:ascii="Times New Roman" w:hAnsi="Times New Roman"/>
          <w:b/>
          <w:sz w:val="28"/>
          <w:szCs w:val="28"/>
          <w:lang w:val="uk-UA"/>
        </w:rPr>
      </w:pPr>
    </w:p>
    <w:p w14:paraId="5D5B0B53" w14:textId="08CE6851" w:rsidR="00990A72" w:rsidRDefault="00990A72" w:rsidP="00F22ADF">
      <w:pPr>
        <w:spacing w:after="0" w:line="360" w:lineRule="auto"/>
        <w:ind w:firstLine="709"/>
        <w:jc w:val="both"/>
        <w:rPr>
          <w:rFonts w:ascii="Times New Roman" w:hAnsi="Times New Roman"/>
          <w:b/>
          <w:sz w:val="28"/>
          <w:szCs w:val="28"/>
          <w:lang w:val="uk-UA"/>
        </w:rPr>
      </w:pPr>
    </w:p>
    <w:p w14:paraId="718493E2" w14:textId="062A489B" w:rsidR="00990A72" w:rsidRDefault="00990A72" w:rsidP="00F22ADF">
      <w:pPr>
        <w:spacing w:after="0" w:line="360" w:lineRule="auto"/>
        <w:ind w:firstLine="709"/>
        <w:jc w:val="both"/>
        <w:rPr>
          <w:rFonts w:ascii="Times New Roman" w:hAnsi="Times New Roman"/>
          <w:b/>
          <w:sz w:val="28"/>
          <w:szCs w:val="28"/>
          <w:lang w:val="uk-UA"/>
        </w:rPr>
      </w:pPr>
    </w:p>
    <w:p w14:paraId="1F300D65" w14:textId="117EA02E" w:rsidR="00990A72" w:rsidRDefault="00990A72" w:rsidP="00F22ADF">
      <w:pPr>
        <w:spacing w:after="0" w:line="360" w:lineRule="auto"/>
        <w:ind w:firstLine="709"/>
        <w:jc w:val="both"/>
        <w:rPr>
          <w:rFonts w:ascii="Times New Roman" w:hAnsi="Times New Roman"/>
          <w:b/>
          <w:sz w:val="28"/>
          <w:szCs w:val="28"/>
          <w:lang w:val="uk-UA"/>
        </w:rPr>
      </w:pPr>
    </w:p>
    <w:p w14:paraId="41D3B8F0" w14:textId="726A99D0" w:rsidR="00990A72" w:rsidRDefault="00990A72" w:rsidP="00F22ADF">
      <w:pPr>
        <w:spacing w:after="0" w:line="360" w:lineRule="auto"/>
        <w:ind w:firstLine="709"/>
        <w:jc w:val="both"/>
        <w:rPr>
          <w:rFonts w:ascii="Times New Roman" w:hAnsi="Times New Roman"/>
          <w:b/>
          <w:sz w:val="28"/>
          <w:szCs w:val="28"/>
          <w:lang w:val="uk-UA"/>
        </w:rPr>
      </w:pPr>
    </w:p>
    <w:p w14:paraId="7E9BBD77" w14:textId="37C076A4" w:rsidR="00990A72" w:rsidRDefault="00990A72" w:rsidP="00F22ADF">
      <w:pPr>
        <w:spacing w:after="0" w:line="360" w:lineRule="auto"/>
        <w:ind w:firstLine="709"/>
        <w:jc w:val="both"/>
        <w:rPr>
          <w:rFonts w:ascii="Times New Roman" w:hAnsi="Times New Roman"/>
          <w:b/>
          <w:sz w:val="28"/>
          <w:szCs w:val="28"/>
          <w:lang w:val="uk-UA"/>
        </w:rPr>
      </w:pPr>
    </w:p>
    <w:p w14:paraId="6D944785" w14:textId="6C88A044" w:rsidR="00990A72" w:rsidRDefault="00990A72" w:rsidP="00F22ADF">
      <w:pPr>
        <w:spacing w:after="0" w:line="360" w:lineRule="auto"/>
        <w:ind w:firstLine="709"/>
        <w:jc w:val="both"/>
        <w:rPr>
          <w:rFonts w:ascii="Times New Roman" w:hAnsi="Times New Roman"/>
          <w:b/>
          <w:sz w:val="28"/>
          <w:szCs w:val="28"/>
          <w:lang w:val="uk-UA"/>
        </w:rPr>
      </w:pPr>
    </w:p>
    <w:p w14:paraId="507940B8" w14:textId="56B4C1F6" w:rsidR="00990A72" w:rsidRDefault="00990A72" w:rsidP="00F22ADF">
      <w:pPr>
        <w:spacing w:after="0" w:line="360" w:lineRule="auto"/>
        <w:ind w:firstLine="709"/>
        <w:jc w:val="both"/>
        <w:rPr>
          <w:rFonts w:ascii="Times New Roman" w:hAnsi="Times New Roman"/>
          <w:b/>
          <w:sz w:val="28"/>
          <w:szCs w:val="28"/>
          <w:lang w:val="uk-UA"/>
        </w:rPr>
      </w:pPr>
    </w:p>
    <w:p w14:paraId="6F81E284" w14:textId="64DBCE39" w:rsidR="00990A72" w:rsidRDefault="00990A72" w:rsidP="00F22ADF">
      <w:pPr>
        <w:spacing w:after="0" w:line="360" w:lineRule="auto"/>
        <w:ind w:firstLine="709"/>
        <w:jc w:val="both"/>
        <w:rPr>
          <w:rFonts w:ascii="Times New Roman" w:hAnsi="Times New Roman"/>
          <w:b/>
          <w:sz w:val="28"/>
          <w:szCs w:val="28"/>
          <w:lang w:val="uk-UA"/>
        </w:rPr>
      </w:pPr>
    </w:p>
    <w:p w14:paraId="5F834CAD" w14:textId="4B217F3C" w:rsidR="00990A72" w:rsidRDefault="00990A72" w:rsidP="00F22ADF">
      <w:pPr>
        <w:spacing w:after="0" w:line="360" w:lineRule="auto"/>
        <w:ind w:firstLine="709"/>
        <w:jc w:val="both"/>
        <w:rPr>
          <w:rFonts w:ascii="Times New Roman" w:hAnsi="Times New Roman"/>
          <w:b/>
          <w:sz w:val="28"/>
          <w:szCs w:val="28"/>
          <w:lang w:val="uk-UA"/>
        </w:rPr>
      </w:pPr>
    </w:p>
    <w:p w14:paraId="5F1AFA56" w14:textId="29029168" w:rsidR="00990A72" w:rsidRDefault="00990A72" w:rsidP="00F22ADF">
      <w:pPr>
        <w:spacing w:after="0" w:line="360" w:lineRule="auto"/>
        <w:ind w:firstLine="709"/>
        <w:jc w:val="both"/>
        <w:rPr>
          <w:rFonts w:ascii="Times New Roman" w:hAnsi="Times New Roman"/>
          <w:b/>
          <w:sz w:val="28"/>
          <w:szCs w:val="28"/>
          <w:lang w:val="uk-UA"/>
        </w:rPr>
      </w:pPr>
    </w:p>
    <w:p w14:paraId="6291064A" w14:textId="70AB37F8" w:rsidR="00990A72" w:rsidRDefault="00990A72" w:rsidP="00F22ADF">
      <w:pPr>
        <w:spacing w:after="0" w:line="360" w:lineRule="auto"/>
        <w:ind w:firstLine="709"/>
        <w:jc w:val="both"/>
        <w:rPr>
          <w:rFonts w:ascii="Times New Roman" w:hAnsi="Times New Roman"/>
          <w:b/>
          <w:sz w:val="28"/>
          <w:szCs w:val="28"/>
          <w:lang w:val="uk-UA"/>
        </w:rPr>
      </w:pPr>
    </w:p>
    <w:p w14:paraId="738F254B" w14:textId="5596A65B" w:rsidR="00990A72" w:rsidRDefault="00990A72" w:rsidP="00F22ADF">
      <w:pPr>
        <w:spacing w:after="0" w:line="360" w:lineRule="auto"/>
        <w:ind w:firstLine="709"/>
        <w:jc w:val="both"/>
        <w:rPr>
          <w:rFonts w:ascii="Times New Roman" w:hAnsi="Times New Roman"/>
          <w:b/>
          <w:sz w:val="28"/>
          <w:szCs w:val="28"/>
          <w:lang w:val="uk-UA"/>
        </w:rPr>
      </w:pPr>
    </w:p>
    <w:p w14:paraId="0F78D17F" w14:textId="29099FD9" w:rsidR="00990A72" w:rsidRDefault="00990A72" w:rsidP="00F22ADF">
      <w:pPr>
        <w:spacing w:after="0" w:line="360" w:lineRule="auto"/>
        <w:ind w:firstLine="709"/>
        <w:jc w:val="both"/>
        <w:rPr>
          <w:rFonts w:ascii="Times New Roman" w:hAnsi="Times New Roman"/>
          <w:b/>
          <w:sz w:val="28"/>
          <w:szCs w:val="28"/>
          <w:lang w:val="uk-UA"/>
        </w:rPr>
      </w:pPr>
    </w:p>
    <w:p w14:paraId="71460FD6" w14:textId="27DA73F0" w:rsidR="00990A72" w:rsidRDefault="00990A72" w:rsidP="00F22ADF">
      <w:pPr>
        <w:spacing w:after="0" w:line="360" w:lineRule="auto"/>
        <w:ind w:firstLine="709"/>
        <w:jc w:val="both"/>
        <w:rPr>
          <w:rFonts w:ascii="Times New Roman" w:hAnsi="Times New Roman"/>
          <w:b/>
          <w:sz w:val="28"/>
          <w:szCs w:val="28"/>
          <w:lang w:val="uk-UA"/>
        </w:rPr>
      </w:pPr>
    </w:p>
    <w:p w14:paraId="029E86F2" w14:textId="16ABB3B4" w:rsidR="00990A72" w:rsidRDefault="00990A72" w:rsidP="00F22ADF">
      <w:pPr>
        <w:spacing w:after="0" w:line="360" w:lineRule="auto"/>
        <w:ind w:firstLine="709"/>
        <w:jc w:val="both"/>
        <w:rPr>
          <w:rFonts w:ascii="Times New Roman" w:hAnsi="Times New Roman"/>
          <w:b/>
          <w:sz w:val="28"/>
          <w:szCs w:val="28"/>
          <w:lang w:val="uk-UA"/>
        </w:rPr>
      </w:pPr>
    </w:p>
    <w:p w14:paraId="5419C64D" w14:textId="7BD95481" w:rsidR="00990A72" w:rsidRDefault="00990A72" w:rsidP="00F22ADF">
      <w:pPr>
        <w:spacing w:after="0" w:line="360" w:lineRule="auto"/>
        <w:ind w:firstLine="709"/>
        <w:jc w:val="both"/>
        <w:rPr>
          <w:rFonts w:ascii="Times New Roman" w:hAnsi="Times New Roman"/>
          <w:b/>
          <w:sz w:val="28"/>
          <w:szCs w:val="28"/>
          <w:lang w:val="uk-UA"/>
        </w:rPr>
      </w:pPr>
    </w:p>
    <w:p w14:paraId="5B8BE594" w14:textId="20F33D67" w:rsidR="00990A72" w:rsidRDefault="00990A72" w:rsidP="00F22ADF">
      <w:pPr>
        <w:spacing w:after="0" w:line="360" w:lineRule="auto"/>
        <w:ind w:firstLine="709"/>
        <w:jc w:val="both"/>
        <w:rPr>
          <w:rFonts w:ascii="Times New Roman" w:hAnsi="Times New Roman"/>
          <w:b/>
          <w:sz w:val="28"/>
          <w:szCs w:val="28"/>
          <w:lang w:val="uk-UA"/>
        </w:rPr>
      </w:pPr>
    </w:p>
    <w:p w14:paraId="53953E33" w14:textId="77777777" w:rsidR="00566A2B" w:rsidRPr="00993978" w:rsidRDefault="00566A2B" w:rsidP="00F22ADF">
      <w:pPr>
        <w:spacing w:after="0" w:line="360" w:lineRule="auto"/>
        <w:ind w:firstLine="709"/>
        <w:jc w:val="both"/>
        <w:rPr>
          <w:rFonts w:ascii="Times New Roman" w:hAnsi="Times New Roman"/>
          <w:b/>
          <w:sz w:val="28"/>
          <w:szCs w:val="28"/>
          <w:lang w:val="uk-UA"/>
        </w:rPr>
      </w:pPr>
    </w:p>
    <w:p w14:paraId="1F801A3F" w14:textId="77777777" w:rsidR="00566A2B" w:rsidRPr="00993978" w:rsidRDefault="00566A2B" w:rsidP="00F22ADF">
      <w:pPr>
        <w:spacing w:after="0" w:line="360" w:lineRule="auto"/>
        <w:ind w:firstLine="709"/>
        <w:jc w:val="both"/>
        <w:rPr>
          <w:rFonts w:ascii="Times New Roman" w:hAnsi="Times New Roman"/>
          <w:b/>
          <w:sz w:val="28"/>
          <w:szCs w:val="28"/>
          <w:lang w:val="uk-UA"/>
        </w:rPr>
      </w:pPr>
    </w:p>
    <w:p w14:paraId="107BB60F" w14:textId="77777777" w:rsidR="00566A2B" w:rsidRPr="00993978" w:rsidRDefault="00566A2B" w:rsidP="00F22ADF">
      <w:pPr>
        <w:spacing w:after="0" w:line="360" w:lineRule="auto"/>
        <w:ind w:firstLine="709"/>
        <w:jc w:val="both"/>
        <w:rPr>
          <w:rFonts w:ascii="Times New Roman" w:hAnsi="Times New Roman"/>
          <w:b/>
          <w:sz w:val="28"/>
          <w:szCs w:val="28"/>
          <w:lang w:val="uk-UA"/>
        </w:rPr>
      </w:pPr>
    </w:p>
    <w:p w14:paraId="750428C0" w14:textId="77777777" w:rsidR="00566A2B" w:rsidRPr="00993978" w:rsidRDefault="00566A2B" w:rsidP="00F22ADF">
      <w:pPr>
        <w:spacing w:after="0" w:line="360" w:lineRule="auto"/>
        <w:ind w:firstLine="709"/>
        <w:jc w:val="both"/>
        <w:rPr>
          <w:rFonts w:ascii="Times New Roman" w:hAnsi="Times New Roman"/>
          <w:b/>
          <w:sz w:val="28"/>
          <w:szCs w:val="28"/>
          <w:lang w:val="uk-UA"/>
        </w:rPr>
      </w:pPr>
    </w:p>
    <w:p w14:paraId="3F12E0B3" w14:textId="77777777" w:rsidR="00F22ADF" w:rsidRPr="00993978" w:rsidRDefault="00F22ADF" w:rsidP="00566A2B">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 І ЛІТЕРАТУРИ</w:t>
      </w:r>
    </w:p>
    <w:p w14:paraId="52430E10" w14:textId="77777777" w:rsidR="00566A2B" w:rsidRPr="00993978" w:rsidRDefault="00566A2B" w:rsidP="00566A2B">
      <w:pPr>
        <w:spacing w:after="0" w:line="360" w:lineRule="auto"/>
        <w:ind w:firstLine="709"/>
        <w:jc w:val="center"/>
        <w:rPr>
          <w:rFonts w:ascii="Times New Roman" w:hAnsi="Times New Roman"/>
          <w:b/>
          <w:sz w:val="28"/>
          <w:szCs w:val="28"/>
          <w:lang w:val="uk-UA"/>
        </w:rPr>
      </w:pPr>
    </w:p>
    <w:p w14:paraId="10000000"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Андрущенко Т. В. Цифрова грамотність соціальних працівників: оцінка та шляхи підвищення. Вісник Київського національного університету імені Тараса Шевченка. Серія «Соціальна робота». 2021. № 1 (7). С. 14–22.</w:t>
      </w:r>
    </w:p>
    <w:p w14:paraId="10000001"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Бабенко О. С. Адміністративне навантаження в соціальній роботі в умовах цифровізації : аналіт. огляд. Київ : ІПС НАН України, 2022. 52 с.</w:t>
      </w:r>
    </w:p>
    <w:p w14:paraId="10000002"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Бандурка О. М., Тімченко О. В. Цифрова трансформація та етика соціальної роботи : монографія. Харків : ХНУВС, 2023. 196 с.</w:t>
      </w:r>
    </w:p>
    <w:p w14:paraId="10000003"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Безпалько О. В., Звєрєва І. Д. Волонтерська діяльність в Україні в умовах збройного конфлікту. Соціальна педагогіка: теорія і практика. 2023. № 2. С. 12–21.</w:t>
      </w:r>
    </w:p>
    <w:p w14:paraId="10000004"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Безугла М. В. Цифрова нерівність як соціальна проблема: теоретичні підходи та практика подолання. Соціологія: теорія, методи, маркетинг. 2022. № 4. С. 77–91.</w:t>
      </w:r>
    </w:p>
    <w:p w14:paraId="10000005"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Бойко А. М. Дистанційне консультування у соціальній роботі: переваги, ризики, обмеження. Соціальна робота та соціальна освіта. 2021. Вип. 1 (6). С. 56–64.</w:t>
      </w:r>
    </w:p>
    <w:p w14:paraId="10000006"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Виговська О. Г. Проблеми забезпечення конфіденційності при дистанційному наданні соціальних послуг / О. Г. Виговська // Право та суспільство. 2022. № 4. С. 88–97.</w:t>
      </w:r>
    </w:p>
    <w:p w14:paraId="10000007"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Войтович Р. В. Електронне урядування та цифрова трансформація публічних послуг в Україні : монографія. Київ : НАДУ, 2021. 232 с.</w:t>
      </w:r>
    </w:p>
    <w:p w14:paraId="10000008"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Гайович Н. В. Оцінювання якості соціальних послуг: методологічні підходи та практика реалізації / Н. В. Гайович // Соціальна робота в Україні: теорія і практика. 2022. № 1–2. С. 31–42.</w:t>
      </w:r>
    </w:p>
    <w:p w14:paraId="10000009"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Гнатенко К. В. Цифрова інклюзія вразливих груп населення: європейський досвід та українські реалії / К. В. Гнатенко // Соціальна політика: проблеми, аналіз, перспективи. 2023. № 2. С. 33–47.</w:t>
      </w:r>
    </w:p>
    <w:p w14:paraId="1000000A"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Дума О. І. Цифровізація соціального захисту населення в умовах воєнного стану. Демографія та соціальна економіка. 2023. № 2 (52). С. 88–104.</w:t>
      </w:r>
    </w:p>
    <w:p w14:paraId="1000000B"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Єресько О. В. Соціальні мережі як інструмент комунікації соціального працівника. Науковий вісник Ужгородського університету. Серія «Педагогіка. Соціальна робота». 2022. № 1 (50). С. 45–51.</w:t>
      </w:r>
    </w:p>
    <w:p w14:paraId="1000000C"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Жук О. М. Соціальна допомога і соціальна робота: виклики сучасності : матеріали IV Всеукр. наук.-практ. конф. (Луцьк, 11–12 травня 2023 р.) / упоряд.: О. Жук, В. Малиновський, О. Сільвестрова, І. Сушик. Луцьк : ЛНТУ, 2023. 352 с.</w:t>
      </w:r>
    </w:p>
    <w:p w14:paraId="1000000D"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Заброцька О. В. Цифрові соціальні сервіси: оцінка ефективності надання послуг населенню / О. В. Заброцька // Економіка та держава. 2021. № 8. С. 95–101.</w:t>
      </w:r>
    </w:p>
    <w:p w14:paraId="1000000E"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Зайченко О. В. Критерії та показники якості соціальних послуг в системі соціального захисту населення / О. В. Зайченко // Вісник Національного університету цивільного захисту України. 2021. Вип. 1 (14). С. 45–56.</w:t>
      </w:r>
    </w:p>
    <w:p w14:paraId="1000000F"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Закон України «Про соціальні послуги» від 17.01.2019 № 2671-VIII. URL: https://zakon.rada.gov.ua/laws/show/2671-19 (дата звернення: 10.04.2025).</w:t>
      </w:r>
    </w:p>
    <w:p w14:paraId="10000010"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Іванова І. Б. Цифрові компетентності соціального працівника в умовах трансформації соціальної сфери. Педагогіка та психологія. 2023. № 69. С. 88–96.</w:t>
      </w:r>
    </w:p>
    <w:p w14:paraId="10000011"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Карпенко О. В. Цифровізація публічного управління та електронне урядування : навч. посіб. Київ : НАДУ, 2022. 184 с.</w:t>
      </w:r>
    </w:p>
    <w:p w14:paraId="10000012"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Кодекс етики спеціаліста із соціальної роботи України : затв. у 2021 р. [Електронний ресурс]. Режим доступу: https://www.mlsp.gov.ua (дата звернення: 10.04.2025).</w:t>
      </w:r>
    </w:p>
    <w:p w14:paraId="10000013"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Костюк Т. О. Європейський досвід цифрової трансформації соціальної сфери: уроки для України / Т. О. Костюк // Зовнішня торгівля: економіка, фінанси, право. 2022. № 4. С. 112–126.</w:t>
      </w:r>
    </w:p>
    <w:p w14:paraId="10000014"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Лахман О. Л. Цифрова трансформація соціальних служб в умовах збройного конфлікту в Україні / О. Л. Лахман // Актуальні проблеми соціальної роботи. 2023. № 1. С. 5–17.</w:t>
      </w:r>
    </w:p>
    <w:p w14:paraId="10000015"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Логвиненко В. М., Грицанюк В. В. Цифрова трансформація суспільства та інформаційно-комунікаційні технології в професійній діяльності фахівців соціальної сфери. Публічне управління та соціальна робота. 2023. № 2 (74). С. 45–53.</w:t>
      </w:r>
    </w:p>
    <w:p w14:paraId="10000016"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Мельник Л. П. Індекс цифрової економіки та суспільства (DESI) як інструмент оцінювання цифровізації соціальної сфери ЄС / Л. П. Мельник // Геополітика України: історія і сучасність. 2023. Вип. 1 (30). С. 118–130.</w:t>
      </w:r>
    </w:p>
    <w:p w14:paraId="10000017"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Міністерство соціальної політики України. Інформаційна система «Соціальна громада» : офіційний сайт. URL: https://msp.gov.ua (дата звернення: 10.04.2025).</w:t>
      </w:r>
    </w:p>
    <w:p w14:paraId="10000018"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Міністерство цифрової трансформації України. Платформа «Дія» : офіційний сайт. 2023. URL: https://diia.gov.ua (дата звернення: 10.04.2025).</w:t>
      </w:r>
    </w:p>
    <w:p w14:paraId="10000019"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Мінсоцполітики України. Результати функціонування лінії психологічної підтримки 1522 за 2022–2023 рр. : аналітичний звіт. К., 2023. 30 с.</w:t>
      </w:r>
    </w:p>
    <w:p w14:paraId="1000001A"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Моніторинг становища внутрішньо переміщених осіб в Україні : звіт МОМ. Київ : МОМ, 2023. 64 с. URL: https://iom.org.ua (дата звернення: 10.04.2025).</w:t>
      </w:r>
    </w:p>
    <w:p w14:paraId="1000001B"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Олійник С. В. Цифрова трансформація соціальних послуг: досвід країн Європейського Союзу / С. В. Олійник // Академічні візії. 2023. № 21. С. 1–12.</w:t>
      </w:r>
    </w:p>
    <w:p w14:paraId="1000001C"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Поліщук В. А., Янкович О. І. Технологія соціальної роботи : підручник. Тернопіль : ТНПУ, 2020. 320 с.</w:t>
      </w:r>
    </w:p>
    <w:p w14:paraId="1000001D"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Рева О. Л. Цифровізація соціальних послуг: виклики та перспективи для України / О. Л. Рева // Публічне управління та адміністрування. 2022. № 2. С. 78–89.</w:t>
      </w:r>
    </w:p>
    <w:p w14:paraId="1000001E"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Романюк О. П. Соціальний захист у цифровій економіці: новітні підходи / О. П. Романюк // Економіка та суспільство. 2022. № 41. С. 1–10.</w:t>
      </w:r>
    </w:p>
    <w:p w14:paraId="1000001F"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Семигіна Т. В. Соціальна робота в інформаційному суспільстві : теорія та практика. Київ : Академвидав, 2021. 256 с.</w:t>
      </w:r>
    </w:p>
    <w:p w14:paraId="10000020"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Семигіна Т. В. Стандарти якості в соціальній роботі: міжнародний досвід та вітчизняна практика / Т. В. Семигіна // Соціальна педагогіка: теорія та практика. 2020. № 3. С. 14–23.</w:t>
      </w:r>
    </w:p>
    <w:p w14:paraId="10000021"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Ткаченко В. С. Дистанційна соціальна робота в умовах пандемії COVID-19: український та зарубіжний досвід / В. С. Ткаченко // Габітус. 2021. Вип. 27. С. 210–216.</w:t>
      </w:r>
    </w:p>
    <w:p w14:paraId="10000022"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УВКБ ООН. Цифрові рішення для підтримки ВПО в Україні: огляд практик. Женева : УВКБ ООН, 2023. 41 с.</w:t>
      </w:r>
    </w:p>
    <w:p w14:paraId="10000023"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Федірко Н. В. Цифровий соціальний захист в Україні: передумови та стратегічні виклики. Науковий вісник Ужгородського університету. Серія «Педагогіка. Соціальна робота». 2022. Вип. 1 (50). С. 215–221.</w:t>
      </w:r>
    </w:p>
    <w:p w14:paraId="10000024"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Шевченко В. О. Геоінформаційні системи у соціальному управлінні. Харків : ХНУ ім. В. Н. Каразіна, 2021. 148 с.</w:t>
      </w:r>
    </w:p>
    <w:p w14:paraId="10000025"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Шемет О. М. Програма «Цифрова Європа»: можливості для соціальної сфери України. Стратегічні пріоритети. 2022. № 2. С. 67–76.</w:t>
      </w:r>
    </w:p>
    <w:p w14:paraId="10000026"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Age UK. Offline and Left Behind: Older People Excluded from Digital Services. London : Age UK, 2022. 48 p.</w:t>
      </w:r>
    </w:p>
    <w:p w14:paraId="10000027"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Andreassen T. A. Digital Welfare Services in Norway: A Study of NAV’s Online Services. Nordic Social Work Research. 2019. Vol. 9, No. 2. P. 147–159.</w:t>
      </w:r>
    </w:p>
    <w:p w14:paraId="10000028"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Donabedian A. Evaluating the Quality of Medical Care / A. Donabedian // Milbank Quarterly. 1966. Vol. 44, No. 3. P. 166–206.</w:t>
      </w:r>
    </w:p>
    <w:p w14:paraId="10000029"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Eubanks V. Automating Inequality: How High-Tech Tools Profile, Police, and Punish the Poor. New York : St. Martin’s Press, 2018. 272 p.</w:t>
      </w:r>
    </w:p>
    <w:p w14:paraId="1000002A"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European Commission. A European Pillar of Social Rights Action Plan. Luxembourg : Publications Office of the European Union, 2021. 33 p.</w:t>
      </w:r>
    </w:p>
    <w:p w14:paraId="1000002B"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European Commission. Digital Economy and Society Index (DESI) 2022: Thematic Chapters. Brussels : European Commission, 2022. 96 p.</w:t>
      </w:r>
    </w:p>
    <w:p w14:paraId="1000002C"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Fitzpatrick T. Digital Welfare and Social Policy in Europe: New Risks and Opportunities. Journal of European Social Policy. 2021. Vol. 31, No. 3. P. 287–301.</w:t>
      </w:r>
    </w:p>
    <w:p w14:paraId="1000002D"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Hughes M. Trust in Digital Social Work: Challenges and Possibilities. Qualitative Social Work. 2020. Vol. 19, No. 5–6. P. 1202–1217.</w:t>
      </w:r>
    </w:p>
    <w:p w14:paraId="1000002E"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Kattel R. Estonia as a Model for Digital State Building. Oxford Handbook of Deliberative Democracy. 2018. P. 599–615.</w:t>
      </w:r>
    </w:p>
    <w:p w14:paraId="1000002F"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NISCC. Blended Social Care Service Delivery in Northern Ireland: Outcomes Review 2023. Belfast : NISCC, 2023. 51 p.</w:t>
      </w:r>
    </w:p>
    <w:p w14:paraId="10000030"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OECD. Digital Government Review of Ukraine: Towards a Digital Government for People. Paris : OECD Publishing, 2022. 184 p.</w:t>
      </w:r>
    </w:p>
    <w:p w14:paraId="10000031"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Parasuraman A. SERVQUAL: A Multiple-Item Scale for Measuring Consumer Perceptions of Service Quality / A. Parasuraman, V. A. Zeithaml, L. L. Berry // Journal of Retailing. 1988. Vol. 64, No. 1. P. 12–40.</w:t>
      </w:r>
    </w:p>
    <w:p w14:paraId="10000032"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Park J. Digital Social Work: Technology and its Impact on Service Quality. British Journal of Social Work. 2021. Vol. 51, No. 4. P. 1183–1200.</w:t>
      </w:r>
    </w:p>
    <w:p w14:paraId="10000033"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Pereira M. Digital Transformation of Social Services in the European Union: A Comparative Study. International Social Work. 2023. Vol. 66, No. 2. P. 412–428.</w:t>
      </w:r>
    </w:p>
    <w:p w14:paraId="10000034" w14:textId="77777777" w:rsidR="007A4337" w:rsidRDefault="007A4337" w:rsidP="00985C64">
      <w:pPr>
        <w:pStyle w:val="a3"/>
        <w:numPr>
          <w:ilvl w:val="0"/>
          <w:numId w:val="9"/>
        </w:numPr>
        <w:spacing w:after="100" w:line="360" w:lineRule="auto"/>
        <w:ind w:left="0" w:firstLine="851"/>
        <w:jc w:val="both"/>
        <w:rPr>
          <w:rFonts w:ascii="Times New Roman" w:hAnsi="Times New Roman"/>
          <w:sz w:val="28"/>
          <w:szCs w:val="28"/>
          <w:lang w:val="uk-UA"/>
        </w:rPr>
      </w:pPr>
      <w:r>
        <w:rPr>
          <w:rFonts w:ascii="Times New Roman" w:hAnsi="Times New Roman"/>
          <w:sz w:val="28"/>
          <w:szCs w:val="28"/>
          <w:lang w:val="uk-UA"/>
        </w:rPr>
        <w:t>WHO. Telehealth Interventions to Support Self-Management of Long-Term Conditions: A Summary of Systematic Reviews. Geneva : WHO, 2021. 77 p.</w:t>
      </w:r>
    </w:p>
    <w:p w14:paraId="67FBF86A"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6F795CCC"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33894380"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7E3B2007"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283D4B61"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4FDAE5F7"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0E838B9E"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14811214"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15CA781F"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23106915"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4A21D8EF"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0C125CD7"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54280438"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34CB9653"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5C0C3845"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7686AB18"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78C55ED7"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5955CF59"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4819E770"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700EA2FF"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3C590BA5"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60134FAC"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560FA0CE"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74A020CA"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0F1C411F"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3DF3EB57" w14:textId="77777777" w:rsidR="007A4337" w:rsidRDefault="007A4337" w:rsidP="001B5586">
      <w:pPr>
        <w:tabs>
          <w:tab w:val="left" w:pos="3675"/>
        </w:tabs>
        <w:spacing w:after="0" w:line="360" w:lineRule="auto"/>
        <w:ind w:firstLine="709"/>
        <w:jc w:val="center"/>
        <w:rPr>
          <w:rFonts w:ascii="Times New Roman" w:hAnsi="Times New Roman"/>
          <w:b/>
          <w:sz w:val="28"/>
          <w:szCs w:val="28"/>
          <w:lang w:val="uk-UA"/>
        </w:rPr>
      </w:pPr>
    </w:p>
    <w:p w14:paraId="488AEBE9" w14:textId="49FB04CC" w:rsidR="00097161" w:rsidRPr="00993978" w:rsidRDefault="00F22ADF" w:rsidP="001B5586">
      <w:pPr>
        <w:tabs>
          <w:tab w:val="left" w:pos="3675"/>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ДОДАТКИ</w:t>
      </w:r>
    </w:p>
    <w:p w14:paraId="148924C3" w14:textId="77777777" w:rsidR="00EB2DE9" w:rsidRPr="00993978" w:rsidRDefault="00EB2DE9" w:rsidP="00EB2DE9">
      <w:pPr>
        <w:spacing w:before="36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ДОДАТОК А</w:t>
      </w:r>
    </w:p>
    <w:p w14:paraId="6C53FB85" w14:textId="77777777" w:rsidR="00EB2DE9" w:rsidRPr="00993978" w:rsidRDefault="00EB2DE9" w:rsidP="00EB2DE9">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Анкета А – для отримувачів соціальних послуг</w:t>
      </w:r>
    </w:p>
    <w:p w14:paraId="6CE4FD5F"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Шановний/-а учасник/-це дослідження!</w:t>
      </w:r>
    </w:p>
    <w:p w14:paraId="27D9209F" w14:textId="5B5DE44B"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Дана анкета є інструментом дослідження якості цифрових консультаційних практик у соціальній роботі, яке проводиться в рамках кваліфікаційної роботи. Ваші відповіді є анонімними та будуть використані виключно в наукових цілях. Участь у дослідженні є добровільною. Будь ласка, обведіть або підкресліть обраний варіант відповіді або напишіть власну відповідь там, де це передбачено.</w:t>
      </w:r>
    </w:p>
    <w:p w14:paraId="4FC53805"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1. СОЦІАЛЬНО-ДЕМОГРАФІЧНІ ХАРАКТЕРИСТИКИ</w:t>
      </w:r>
    </w:p>
    <w:p w14:paraId="5C0303DD"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 Ваша стать:</w:t>
      </w:r>
    </w:p>
    <w:p w14:paraId="7AB80C46"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Жіноча</w:t>
      </w:r>
    </w:p>
    <w:p w14:paraId="01BBD53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Чоловіча</w:t>
      </w:r>
    </w:p>
    <w:p w14:paraId="1DEF5528"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Інше / Не бажаю вказувати</w:t>
      </w:r>
    </w:p>
    <w:p w14:paraId="01A29F87"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2. Ваш вік:</w:t>
      </w:r>
    </w:p>
    <w:p w14:paraId="56CEA6CE"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До 30 років</w:t>
      </w:r>
    </w:p>
    <w:p w14:paraId="50E1FF7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30–44 роки</w:t>
      </w:r>
    </w:p>
    <w:p w14:paraId="0913046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45–59 років</w:t>
      </w:r>
    </w:p>
    <w:p w14:paraId="399C9A6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60–74 роки</w:t>
      </w:r>
    </w:p>
    <w:p w14:paraId="47DCBAC9"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75 років і старше</w:t>
      </w:r>
    </w:p>
    <w:p w14:paraId="79F68888"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3. До якої категорії Ви належите?</w:t>
      </w:r>
    </w:p>
    <w:p w14:paraId="01E0CF9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Внутрішньо переміщена особа (ВПО)</w:t>
      </w:r>
    </w:p>
    <w:p w14:paraId="28892D1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Ветеран / член родини ветерана</w:t>
      </w:r>
    </w:p>
    <w:p w14:paraId="3192FB7C"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Особа з інвалідністю</w:t>
      </w:r>
    </w:p>
    <w:p w14:paraId="6EC69CC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Малозабезпечена сім'я / сім'я у СЖО</w:t>
      </w:r>
    </w:p>
    <w:p w14:paraId="5478C11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Особа похилого віку</w:t>
      </w:r>
    </w:p>
    <w:p w14:paraId="3793E6D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Інше: _______</w:t>
      </w:r>
    </w:p>
    <w:p w14:paraId="400AD5DD" w14:textId="77777777" w:rsidR="00651C84" w:rsidRPr="00993978" w:rsidRDefault="00651C84" w:rsidP="00EB2DE9">
      <w:pPr>
        <w:spacing w:before="100" w:after="60" w:line="360" w:lineRule="auto"/>
        <w:jc w:val="both"/>
        <w:rPr>
          <w:rFonts w:ascii="Times New Roman" w:eastAsia="Times New Roman" w:hAnsi="Times New Roman"/>
          <w:b/>
          <w:bCs/>
          <w:sz w:val="26"/>
          <w:szCs w:val="26"/>
          <w:u w:val="single"/>
          <w:lang w:val="uk-UA" w:eastAsia="ru-RU"/>
        </w:rPr>
      </w:pPr>
    </w:p>
    <w:p w14:paraId="7ABB5560" w14:textId="77777777" w:rsidR="00651C84" w:rsidRPr="00993978" w:rsidRDefault="00651C84" w:rsidP="00EB2DE9">
      <w:pPr>
        <w:spacing w:before="100" w:after="60" w:line="360" w:lineRule="auto"/>
        <w:jc w:val="both"/>
        <w:rPr>
          <w:rFonts w:ascii="Times New Roman" w:eastAsia="Times New Roman" w:hAnsi="Times New Roman"/>
          <w:b/>
          <w:bCs/>
          <w:sz w:val="26"/>
          <w:szCs w:val="26"/>
          <w:u w:val="single"/>
          <w:lang w:val="uk-UA" w:eastAsia="ru-RU"/>
        </w:rPr>
      </w:pPr>
    </w:p>
    <w:p w14:paraId="7FC738C2"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2. ДОСВІД ВИКОРИСТАННЯ ЦИФРОВИХ КОНСУЛЬТАЦІЙ</w:t>
      </w:r>
    </w:p>
    <w:p w14:paraId="18D97878"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4. Чи зверталися Ви до соціальних служб у цифровому форматі (онлайн, через месенджер, відеодзвінок) протягом останніх 12 місяців?</w:t>
      </w:r>
    </w:p>
    <w:p w14:paraId="69EF4F29"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один-два рази</w:t>
      </w:r>
    </w:p>
    <w:p w14:paraId="1CBCC13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три і більше разів</w:t>
      </w:r>
    </w:p>
    <w:p w14:paraId="104E5034"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Ні, не зверталися</w:t>
      </w:r>
    </w:p>
    <w:p w14:paraId="276784DA"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знав/-ла, що така можливість існує</w:t>
      </w:r>
    </w:p>
    <w:p w14:paraId="49606E3F"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5. Які цифрові канали Ви використовували? (можна вибрати кілька)</w:t>
      </w:r>
    </w:p>
    <w:p w14:paraId="13723291"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Месенджери (Viber, Telegram, WhatsApp)</w:t>
      </w:r>
    </w:p>
    <w:p w14:paraId="1F0AA9B0"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Відеодзвінок (Zoom, Google Meet, Teams)</w:t>
      </w:r>
    </w:p>
    <w:p w14:paraId="771C839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Офіційний сайт / онлайн-форма служби</w:t>
      </w:r>
    </w:p>
    <w:p w14:paraId="1BF098EA"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Електронна пошта</w:t>
      </w:r>
    </w:p>
    <w:p w14:paraId="7826FBE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Чат-бот</w:t>
      </w:r>
    </w:p>
    <w:p w14:paraId="0A99F3C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Інше: _______</w:t>
      </w:r>
    </w:p>
    <w:p w14:paraId="4F290742"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6. З якою метою Ви зверталися цифровим каналом? (можна кілька)</w:t>
      </w:r>
    </w:p>
    <w:p w14:paraId="7408482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Отримання інформації про соціальні виплати</w:t>
      </w:r>
    </w:p>
    <w:p w14:paraId="7CC46CC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Психологічна підтримка</w:t>
      </w:r>
    </w:p>
    <w:p w14:paraId="168D4D09"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Юридична консультація</w:t>
      </w:r>
    </w:p>
    <w:p w14:paraId="45D0FDCE"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Допомога з документами</w:t>
      </w:r>
    </w:p>
    <w:p w14:paraId="7DA58FC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Направлення до спеціаліста</w:t>
      </w:r>
    </w:p>
    <w:p w14:paraId="53893A6D"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Інше: _______</w:t>
      </w:r>
    </w:p>
    <w:p w14:paraId="52935AE9"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3. ОЦІНКА ЯКОСТІ ЦИФРОВИХ КОНСУЛЬТАЦІЙ</w:t>
      </w:r>
    </w:p>
    <w:p w14:paraId="7A138B63"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(Відповідайте, якщо мали досвід цифрових консультацій. Оцініть за шкалою від 1 до 5, де 1 – зовсім не задоволений/-а, 5 – повністю задоволений/-а)</w:t>
      </w:r>
    </w:p>
    <w:p w14:paraId="5AD740A3" w14:textId="77777777" w:rsidR="00EB2DE9" w:rsidRPr="00993978" w:rsidRDefault="00EB2DE9" w:rsidP="00EB2DE9">
      <w:pPr>
        <w:spacing w:after="100" w:line="360" w:lineRule="auto"/>
        <w:jc w:val="both"/>
        <w:rPr>
          <w:rFonts w:ascii="Times New Roman" w:eastAsia="Times New Roman" w:hAnsi="Times New Roman"/>
          <w:sz w:val="28"/>
          <w:szCs w:val="28"/>
          <w:lang w:val="uk-UA" w:eastAsia="ru-RU"/>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700"/>
        <w:gridCol w:w="700"/>
        <w:gridCol w:w="700"/>
        <w:gridCol w:w="700"/>
        <w:gridCol w:w="1226"/>
      </w:tblGrid>
      <w:tr w:rsidR="00EB2DE9" w:rsidRPr="00993978" w14:paraId="4F42D466"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0ED787CE"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Твердження</w:t>
            </w:r>
          </w:p>
        </w:tc>
        <w:tc>
          <w:tcPr>
            <w:tcW w:w="7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7D81B476"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1</w:t>
            </w:r>
          </w:p>
        </w:tc>
        <w:tc>
          <w:tcPr>
            <w:tcW w:w="7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73F50FC5"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2</w:t>
            </w:r>
          </w:p>
        </w:tc>
        <w:tc>
          <w:tcPr>
            <w:tcW w:w="7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1B6AF0FB"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3</w:t>
            </w:r>
          </w:p>
        </w:tc>
        <w:tc>
          <w:tcPr>
            <w:tcW w:w="7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70AB7CC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4</w:t>
            </w:r>
          </w:p>
        </w:tc>
        <w:tc>
          <w:tcPr>
            <w:tcW w:w="1226"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7DDE2BCA"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5</w:t>
            </w:r>
          </w:p>
        </w:tc>
      </w:tr>
      <w:tr w:rsidR="00EB2DE9" w:rsidRPr="00993978" w14:paraId="75D21079"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1DB3C2C"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Я отримав/-ла консультацію оперативно (швидко)</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2A04C22"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3A95A0A0"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93FDFA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2741F7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BE75C6F"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1C399A8B"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16CEDF6E"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Фахівець відповів/-ла на всі мої запитання</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195E40FA"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FEF6B45"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2EF3159A"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E907F20"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869C1B8"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436C7576"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8EA9325"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Фахівець був/-ла уважним/-ою та розуміючим/-ою</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0A1BEBAE"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C2D21A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A706998"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58FBDF7"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6778D16"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6715AEA7"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2E2FBFF"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Я відчував/-ла, що мене чують та розуміють</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8EA2E18"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AF71AFF"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4D37F07"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0BD19F1"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019909B2"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54919B5A"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5DA3754"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Мої персональні дані були у безпеці</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F895DB7"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33DD2B45"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6D1BE3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77B677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43D73D5"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65B2139D"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101B7E4"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Якість зв'язку (звук, зображення) була задовільною</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69F88AC1"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EF001B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87F20D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201B19FE"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AC0E8DC"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3F9AEB14"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BA76A1D"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Консультацію було легко отримати технічно</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09ED2F1"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80F63DB"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176AF8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137FE1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2C1BBFD4"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451C90D2"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539278C"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Я знав/-ла, де та як отримати цифрову консультацію</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6CAEF20F"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0E891F3D"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D802F51"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9A40D31"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259AF7AE"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1A4B6AAF"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3ECB47C"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Результат консультації допоміг/-ла мені вирішити проблему</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AD4DDF9"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33548D1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DB4CFCB"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2C9479EF"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716A1D6"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24A2664B" w14:textId="77777777" w:rsidTr="00F47BB4">
        <w:tc>
          <w:tcPr>
            <w:tcW w:w="50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A486A2E" w14:textId="77777777" w:rsidR="00EB2DE9" w:rsidRPr="00993978" w:rsidRDefault="00EB2DE9" w:rsidP="00651C84">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Загалом я задоволений/-а якістю цифрової консультації</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271E3FCD"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E827430"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DB031AC"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7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6B6E8453"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09D75346" w14:textId="77777777" w:rsidR="00EB2DE9" w:rsidRPr="00993978" w:rsidRDefault="00EB2DE9" w:rsidP="00651C8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bl>
    <w:p w14:paraId="053B1820" w14:textId="77777777" w:rsidR="00EB2DE9" w:rsidRPr="00993978" w:rsidRDefault="00EB2DE9" w:rsidP="00EB2DE9">
      <w:pPr>
        <w:spacing w:after="100" w:line="360" w:lineRule="auto"/>
        <w:jc w:val="both"/>
        <w:rPr>
          <w:rFonts w:ascii="Times New Roman" w:eastAsia="Times New Roman" w:hAnsi="Times New Roman"/>
          <w:sz w:val="28"/>
          <w:szCs w:val="28"/>
          <w:lang w:val="uk-UA" w:eastAsia="ru-RU"/>
        </w:rPr>
      </w:pPr>
    </w:p>
    <w:p w14:paraId="4719450A"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4. БАР'ЄРИ ТА ПРОПОЗИЦІЇ</w:t>
      </w:r>
    </w:p>
    <w:p w14:paraId="2F7A5A10"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17. З якими труднощами Ви стикалися при спробі отримати цифрову консультацію? (можна кілька)</w:t>
      </w:r>
    </w:p>
    <w:p w14:paraId="03DDF1F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вмів/-ла користуватися онлайн-інструментами</w:t>
      </w:r>
    </w:p>
    <w:p w14:paraId="7497E4D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було інтернету або він був нестабільним</w:t>
      </w:r>
    </w:p>
    <w:p w14:paraId="02323B90"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було смартфону чи комп'ютера</w:t>
      </w:r>
    </w:p>
    <w:p w14:paraId="5C23ACB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Боявся/-лася, що мої дані не будуть захищені</w:t>
      </w:r>
    </w:p>
    <w:p w14:paraId="5FA7066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знав/-ла, що така послуга існує</w:t>
      </w:r>
    </w:p>
    <w:p w14:paraId="25ACDD2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Волів/-ла особисте спілкування</w:t>
      </w:r>
    </w:p>
    <w:p w14:paraId="73AC1AA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Технічні збої під час консультації</w:t>
      </w:r>
    </w:p>
    <w:p w14:paraId="2C88109A"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мав/-ла труднощів</w:t>
      </w:r>
    </w:p>
    <w:p w14:paraId="7AF1AECC"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18. Який формат отримання соціальних послуг Ви вважаєте найбільш зручним?</w:t>
      </w:r>
    </w:p>
    <w:p w14:paraId="24CBB38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Виключно очний (особистий прийом)</w:t>
      </w:r>
    </w:p>
    <w:p w14:paraId="35B43AB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Переважно очний, частково онлайн</w:t>
      </w:r>
    </w:p>
    <w:p w14:paraId="5E3D0FB6"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Однаково онлайн і очно</w:t>
      </w:r>
    </w:p>
    <w:p w14:paraId="6790B0C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Переважно онлайн, частково очно</w:t>
      </w:r>
    </w:p>
    <w:p w14:paraId="34DA9F34"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Виключно онлайн</w:t>
      </w:r>
    </w:p>
    <w:p w14:paraId="421A70B9" w14:textId="77777777" w:rsidR="00EB2DE9" w:rsidRPr="00993978" w:rsidRDefault="00EB2DE9" w:rsidP="00EB2DE9">
      <w:pPr>
        <w:spacing w:before="100" w:after="2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19. Ваші пропозиції щодо покращення цифрових консультацій:</w:t>
      </w:r>
    </w:p>
    <w:p w14:paraId="0B633317" w14:textId="77777777" w:rsidR="00EB2DE9" w:rsidRPr="00993978" w:rsidRDefault="00EB2DE9" w:rsidP="00EB2DE9">
      <w:pPr>
        <w:spacing w:before="20"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______________________________________________________________________</w:t>
      </w:r>
    </w:p>
    <w:p w14:paraId="77ABB093" w14:textId="77777777" w:rsidR="00EB2DE9" w:rsidRPr="00993978" w:rsidRDefault="00EB2DE9" w:rsidP="00EB2DE9">
      <w:pPr>
        <w:spacing w:before="20" w:after="10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______________________________________________________________________</w:t>
      </w:r>
    </w:p>
    <w:p w14:paraId="10A1F296"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Дякуємо за участь у дослідженні!</w:t>
      </w:r>
    </w:p>
    <w:p w14:paraId="2FE42FA6" w14:textId="77777777" w:rsidR="00EB2DE9" w:rsidRPr="00993978" w:rsidRDefault="00EB2DE9" w:rsidP="00EB2DE9">
      <w:pPr>
        <w:spacing w:after="100" w:line="360" w:lineRule="auto"/>
        <w:jc w:val="both"/>
        <w:rPr>
          <w:rFonts w:ascii="Times New Roman" w:eastAsia="Times New Roman" w:hAnsi="Times New Roman"/>
          <w:sz w:val="28"/>
          <w:szCs w:val="28"/>
          <w:lang w:val="uk-UA" w:eastAsia="ru-RU"/>
        </w:rPr>
      </w:pPr>
    </w:p>
    <w:p w14:paraId="6004ADE6" w14:textId="77777777" w:rsidR="00EB2DE9" w:rsidRPr="00993978" w:rsidRDefault="00EB2DE9" w:rsidP="00651C84">
      <w:pPr>
        <w:spacing w:before="36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ДОДАТОК Б</w:t>
      </w:r>
    </w:p>
    <w:p w14:paraId="2E902C0B" w14:textId="77777777" w:rsidR="00EB2DE9" w:rsidRPr="00993978" w:rsidRDefault="00EB2DE9" w:rsidP="00EB2DE9">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Анкета Б – для соціальних працівників</w:t>
      </w:r>
    </w:p>
    <w:p w14:paraId="6BF67384"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Шановний/-а колего! Анкета спрямована на вивчення умов та якості надання цифрових консультацій у системі соціальної роботи. Результати будуть використані для розробки рекомендацій щодо покращення цифрових практик. Анкета є анонімною.</w:t>
      </w:r>
    </w:p>
    <w:p w14:paraId="68BA80C4"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1. ЗАГАЛЬНІ ВІДОМОСТІ</w:t>
      </w:r>
    </w:p>
    <w:p w14:paraId="55EADC1C"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 Ваш стаж роботи в системі соціальних послуг:</w:t>
      </w:r>
    </w:p>
    <w:p w14:paraId="2E0AF02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До 3 років</w:t>
      </w:r>
    </w:p>
    <w:p w14:paraId="74AB8A5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3–10 років</w:t>
      </w:r>
    </w:p>
    <w:p w14:paraId="73E70FB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11–20 років</w:t>
      </w:r>
    </w:p>
    <w:p w14:paraId="0252865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Понад 20 років</w:t>
      </w:r>
    </w:p>
    <w:p w14:paraId="32F9A87B"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2. Тип установи, де Ви працюєте:</w:t>
      </w:r>
    </w:p>
    <w:p w14:paraId="2EC1327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Центр надання соціальних послуг</w:t>
      </w:r>
    </w:p>
    <w:p w14:paraId="44BA613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Служба у справах дітей</w:t>
      </w:r>
    </w:p>
    <w:p w14:paraId="3D304E3A"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Реабілітаційний центр</w:t>
      </w:r>
    </w:p>
    <w:p w14:paraId="0135D959"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ТЦСО / геріатричний центр</w:t>
      </w:r>
    </w:p>
    <w:p w14:paraId="09DFC962"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Інше: _______</w:t>
      </w:r>
    </w:p>
    <w:p w14:paraId="693D61DB"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3. Яку частку Вашої роботи зараз становлять цифрові консультації?</w:t>
      </w:r>
    </w:p>
    <w:p w14:paraId="72E00F2C"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Менше 10%</w:t>
      </w:r>
    </w:p>
    <w:p w14:paraId="18B2EFD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10–30%</w:t>
      </w:r>
    </w:p>
    <w:p w14:paraId="23A7D177"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31–50%</w:t>
      </w:r>
    </w:p>
    <w:p w14:paraId="781B8B3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51–70%</w:t>
      </w:r>
    </w:p>
    <w:p w14:paraId="53B86D4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Понад 70%</w:t>
      </w:r>
    </w:p>
    <w:p w14:paraId="65464FAE"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2. ЦИФРОВА КОМПЕТЕНТНІСТЬ</w:t>
      </w:r>
    </w:p>
    <w:p w14:paraId="556BBA33"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(Оцініть свій рівень за шкалою: 1 – відсутній; 2 – базовий; 3 – достатній; 4 – добрий; 5 – експертний)</w:t>
      </w: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650"/>
        <w:gridCol w:w="650"/>
        <w:gridCol w:w="650"/>
        <w:gridCol w:w="650"/>
        <w:gridCol w:w="1226"/>
      </w:tblGrid>
      <w:tr w:rsidR="00EB2DE9" w:rsidRPr="00993978" w14:paraId="0209EF83"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20D31743"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Компетентність</w:t>
            </w:r>
          </w:p>
        </w:tc>
        <w:tc>
          <w:tcPr>
            <w:tcW w:w="65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5D302BEC"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1</w:t>
            </w:r>
          </w:p>
        </w:tc>
        <w:tc>
          <w:tcPr>
            <w:tcW w:w="65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1C11DA9F"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2</w:t>
            </w:r>
          </w:p>
        </w:tc>
        <w:tc>
          <w:tcPr>
            <w:tcW w:w="65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73FCD016"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3</w:t>
            </w:r>
          </w:p>
        </w:tc>
        <w:tc>
          <w:tcPr>
            <w:tcW w:w="650"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44C7E363"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4</w:t>
            </w:r>
          </w:p>
        </w:tc>
        <w:tc>
          <w:tcPr>
            <w:tcW w:w="1226" w:type="dxa"/>
            <w:tcBorders>
              <w:top w:val="single" w:sz="4" w:space="0" w:color="2C5F8A"/>
              <w:left w:val="single" w:sz="4" w:space="0" w:color="2C5F8A"/>
              <w:bottom w:val="single" w:sz="4" w:space="0" w:color="2C5F8A"/>
              <w:right w:val="single" w:sz="4" w:space="0" w:color="2C5F8A"/>
            </w:tcBorders>
            <w:shd w:val="clear" w:color="auto" w:fill="2C5F8A"/>
            <w:tcMar>
              <w:top w:w="100" w:type="dxa"/>
              <w:left w:w="120" w:type="dxa"/>
              <w:bottom w:w="100" w:type="dxa"/>
              <w:right w:w="120" w:type="dxa"/>
            </w:tcMar>
          </w:tcPr>
          <w:p w14:paraId="436B2F7F"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color w:val="FFFFFF"/>
                <w:lang w:val="uk-UA" w:eastAsia="ru-RU"/>
              </w:rPr>
              <w:t>5</w:t>
            </w:r>
          </w:p>
        </w:tc>
      </w:tr>
      <w:tr w:rsidR="00EB2DE9" w:rsidRPr="00993978" w14:paraId="3062C2F5"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23615EF"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Використання месенджерів для консультування</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FF44525"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90D8CAF"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7DAF34E"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25B50075"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2BDF4B91"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6E154B6E"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7DDFD34"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Проведення відеоконсультацій</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A47A9AD"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2A45405E"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DC32CFE"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03A1D3C2"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724577E4"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00701BC0"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41FBA07D"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Ведення електронних баз клієнтів (CRM)</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D48BA0B"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A1621A6"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E159546"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7D0C9291"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65FB358"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4BE2C59E"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67E553FD"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Забезпечення конфіденційності онлайн</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63D3F670"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5A210B6"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567F0C8"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F8CFA41"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1E696209"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48B71864"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5C409C6"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Документування цифрових консультацій</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5CB7E6CA"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161DC8E0"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0FAFE5A9"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6A0A4548"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EAF2FB"/>
            <w:tcMar>
              <w:top w:w="80" w:type="dxa"/>
              <w:left w:w="100" w:type="dxa"/>
              <w:bottom w:w="80" w:type="dxa"/>
              <w:right w:w="100" w:type="dxa"/>
            </w:tcMar>
          </w:tcPr>
          <w:p w14:paraId="2710C089"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r w:rsidR="00EB2DE9" w:rsidRPr="00993978" w14:paraId="0DCCFDAA" w14:textId="77777777" w:rsidTr="00F47BB4">
        <w:tc>
          <w:tcPr>
            <w:tcW w:w="520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32F9F40" w14:textId="77777777" w:rsidR="00EB2DE9" w:rsidRPr="00993978" w:rsidRDefault="00EB2DE9" w:rsidP="00312F80">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Надання допомоги клієнтам з цифровими труднощами</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4FD3BCF"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41EC3AB5"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1E9508AC"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650"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567A7CEF"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c>
          <w:tcPr>
            <w:tcW w:w="1226" w:type="dxa"/>
            <w:tcBorders>
              <w:top w:val="single" w:sz="4" w:space="0" w:color="2C5F8A"/>
              <w:left w:val="single" w:sz="4" w:space="0" w:color="2C5F8A"/>
              <w:bottom w:val="single" w:sz="4" w:space="0" w:color="2C5F8A"/>
              <w:right w:val="single" w:sz="4" w:space="0" w:color="2C5F8A"/>
            </w:tcBorders>
            <w:shd w:val="clear" w:color="auto" w:fill="F7FBFF"/>
            <w:tcMar>
              <w:top w:w="80" w:type="dxa"/>
              <w:left w:w="100" w:type="dxa"/>
              <w:bottom w:w="80" w:type="dxa"/>
              <w:right w:w="100" w:type="dxa"/>
            </w:tcMar>
          </w:tcPr>
          <w:p w14:paraId="3417BD7C" w14:textId="77777777" w:rsidR="00EB2DE9" w:rsidRPr="00993978" w:rsidRDefault="00EB2DE9" w:rsidP="00312F8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0"/>
                <w:szCs w:val="20"/>
                <w:lang w:val="uk-UA" w:eastAsia="ru-RU"/>
              </w:rPr>
              <w:t>○</w:t>
            </w:r>
          </w:p>
        </w:tc>
      </w:tr>
    </w:tbl>
    <w:p w14:paraId="0C2C1E67" w14:textId="77777777" w:rsidR="00EB2DE9" w:rsidRPr="00993978" w:rsidRDefault="00EB2DE9" w:rsidP="00EB2DE9">
      <w:pPr>
        <w:spacing w:before="100" w:after="6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6"/>
          <w:szCs w:val="26"/>
          <w:u w:val="single"/>
          <w:lang w:val="uk-UA" w:eastAsia="ru-RU"/>
        </w:rPr>
        <w:t>БЛОК 3. ОРГАНІЗАЦІЙНІ УМОВИ ТА СТАВЛЕННЯ</w:t>
      </w:r>
    </w:p>
    <w:p w14:paraId="13971F60"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10. Чи існує у Вашій службі затверджений стандарт (алгоритм, інструкція) проведення цифрових консультацій?</w:t>
      </w:r>
    </w:p>
    <w:p w14:paraId="279B6411"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існує і я його знаю</w:t>
      </w:r>
    </w:p>
    <w:p w14:paraId="0F5AB0E0"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але я його не читав/-ла</w:t>
      </w:r>
    </w:p>
    <w:p w14:paraId="25404CE8"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Ні, такого документу немає</w:t>
      </w:r>
    </w:p>
    <w:p w14:paraId="2ED3175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 знаю</w:t>
      </w:r>
    </w:p>
    <w:p w14:paraId="7333C4F0"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11. Чи проходили Ви спеціальне навчання з проведення цифрових консультацій?</w:t>
      </w:r>
    </w:p>
    <w:p w14:paraId="241724F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офіційне навчання від установи</w:t>
      </w:r>
    </w:p>
    <w:p w14:paraId="26F1383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Так, самостійно (відеоуроки, вебінари)</w:t>
      </w:r>
    </w:p>
    <w:p w14:paraId="0F05BFAB"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Ні, навчаюся методом спроб і помилок</w:t>
      </w:r>
    </w:p>
    <w:p w14:paraId="6A96AD01"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Ні, вважаю, що навчання не потрібне</w:t>
      </w:r>
    </w:p>
    <w:p w14:paraId="3177EDCF"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12. Як Ви оцінюєте доцільність цифрових консультацій для Вашої роботи?</w:t>
      </w:r>
    </w:p>
    <w:p w14:paraId="60EAEDF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Дуже важлива складова, не уявляю без неї</w:t>
      </w:r>
    </w:p>
    <w:p w14:paraId="2FB93AA3"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Важливе доповнення до очних форм</w:t>
      </w:r>
    </w:p>
    <w:p w14:paraId="700B4160"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Нейтральне ставлення</w:t>
      </w:r>
    </w:p>
    <w:p w14:paraId="7AD7E89F"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Вважаю, що цифрові консультації знижують якість</w:t>
      </w:r>
    </w:p>
    <w:p w14:paraId="48041991"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MS Gothic" w:eastAsia="MS Gothic" w:hAnsi="MS Gothic" w:cs="MS Gothic"/>
          <w:sz w:val="24"/>
          <w:szCs w:val="24"/>
          <w:lang w:val="uk-UA" w:eastAsia="ru-RU"/>
        </w:rPr>
        <w:t>☐</w:t>
      </w:r>
      <w:r>
        <w:rPr>
          <w:rFonts w:ascii="Times New Roman" w:eastAsia="Times New Roman" w:hAnsi="Times New Roman"/>
          <w:sz w:val="24"/>
          <w:szCs w:val="24"/>
          <w:lang w:val="uk-UA" w:eastAsia="ru-RU"/>
        </w:rPr>
        <w:t xml:space="preserve">  Складно відповісти</w:t>
      </w:r>
    </w:p>
    <w:p w14:paraId="6055A89D" w14:textId="77777777" w:rsidR="00EB2DE9" w:rsidRPr="00993978" w:rsidRDefault="00EB2DE9" w:rsidP="00EB2DE9">
      <w:pPr>
        <w:spacing w:before="100" w:after="2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13. Що, на Вашу думку, найбільше заважає якісному проведенню цифрових консультацій?</w:t>
      </w:r>
    </w:p>
    <w:p w14:paraId="5132802D" w14:textId="77777777" w:rsidR="00EB2DE9" w:rsidRPr="00993978" w:rsidRDefault="00EB2DE9" w:rsidP="00EB2DE9">
      <w:pPr>
        <w:spacing w:before="20"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______________________________________________________________________</w:t>
      </w:r>
    </w:p>
    <w:p w14:paraId="196C22D4" w14:textId="77777777" w:rsidR="00EB2DE9" w:rsidRPr="00993978" w:rsidRDefault="00EB2DE9" w:rsidP="00EB2DE9">
      <w:pPr>
        <w:spacing w:before="20"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______________________________________________________________________</w:t>
      </w:r>
    </w:p>
    <w:p w14:paraId="6480E8BE" w14:textId="77777777" w:rsidR="00EB2DE9" w:rsidRPr="00993978" w:rsidRDefault="00EB2DE9" w:rsidP="00EB2DE9">
      <w:pPr>
        <w:spacing w:before="20" w:after="10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______________________________________________________________________</w:t>
      </w:r>
    </w:p>
    <w:p w14:paraId="406DB709"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Дякуємо за участь у дослідженні!</w:t>
      </w:r>
    </w:p>
    <w:p w14:paraId="4C13B154" w14:textId="77777777" w:rsidR="00EB2DE9" w:rsidRPr="00993978" w:rsidRDefault="00EB2DE9" w:rsidP="00EB2DE9">
      <w:pPr>
        <w:spacing w:after="100" w:line="360" w:lineRule="auto"/>
        <w:jc w:val="both"/>
        <w:rPr>
          <w:rFonts w:ascii="Times New Roman" w:eastAsia="Times New Roman" w:hAnsi="Times New Roman"/>
          <w:sz w:val="28"/>
          <w:szCs w:val="28"/>
          <w:lang w:val="uk-UA" w:eastAsia="ru-RU"/>
        </w:rPr>
      </w:pPr>
    </w:p>
    <w:p w14:paraId="2A86D449" w14:textId="77777777" w:rsidR="00312F80" w:rsidRPr="00993978" w:rsidRDefault="00312F80" w:rsidP="00EB2DE9">
      <w:pPr>
        <w:spacing w:after="100" w:line="360" w:lineRule="auto"/>
        <w:jc w:val="both"/>
        <w:rPr>
          <w:rFonts w:ascii="Times New Roman" w:eastAsia="Times New Roman" w:hAnsi="Times New Roman"/>
          <w:sz w:val="28"/>
          <w:szCs w:val="28"/>
          <w:lang w:val="uk-UA" w:eastAsia="ru-RU"/>
        </w:rPr>
      </w:pPr>
    </w:p>
    <w:p w14:paraId="118AB629" w14:textId="77777777" w:rsidR="00EB2DE9" w:rsidRPr="00993978" w:rsidRDefault="00EB2DE9" w:rsidP="00312F80">
      <w:pPr>
        <w:spacing w:before="36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ДОДАТОК В</w:t>
      </w:r>
    </w:p>
    <w:p w14:paraId="117AFADE" w14:textId="77777777" w:rsidR="00EB2DE9" w:rsidRPr="00993978" w:rsidRDefault="00EB2DE9" w:rsidP="00EB2DE9">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Гайд структурованого інтерв'ю з керівниками соціальних служб</w:t>
      </w:r>
    </w:p>
    <w:p w14:paraId="35F6E46D"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Мета інтерв'ю: отримати інституційну перспективу щодо стану та перспектив цифрових консультаційних практик у соціальній роботі Ізмаїльського району.</w:t>
      </w:r>
    </w:p>
    <w:p w14:paraId="5BA5F1E7" w14:textId="77777777" w:rsidR="00EB2DE9" w:rsidRPr="00993978" w:rsidRDefault="00EB2DE9" w:rsidP="00EB2DE9">
      <w:pPr>
        <w:spacing w:after="0" w:line="320" w:lineRule="auto"/>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Тривалість: 30–45 хвилин. Формат: очне або дистанційне (відео). Запис здійснюється за згодою респондента.</w:t>
      </w:r>
    </w:p>
    <w:p w14:paraId="083E0FA0"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1. Якою є частка цифрових консультацій у загальному обсязі соціальних послуг Вашої служби? Як вона змінилася за останні 2–3 роки?</w:t>
      </w:r>
    </w:p>
    <w:p w14:paraId="4FEA2565"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i/>
          <w:iCs/>
          <w:lang w:val="uk-UA" w:eastAsia="ru-RU"/>
        </w:rPr>
        <w:t>Уточнення: Чи є сезонні коливання? Які категорії клієнтів переважно використовують цифровий формат?</w:t>
      </w:r>
    </w:p>
    <w:p w14:paraId="64A97D57" w14:textId="77777777" w:rsidR="00EB2DE9" w:rsidRPr="00993978" w:rsidRDefault="00EB2DE9" w:rsidP="00EB2DE9">
      <w:pPr>
        <w:spacing w:before="20" w:after="6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lang w:val="uk-UA" w:eastAsia="ru-RU"/>
        </w:rPr>
        <w:t>_______________________________________________</w:t>
      </w:r>
    </w:p>
    <w:p w14:paraId="553A50CA"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2. Чи існує у Вашій службі затверджений стандарт або методичні рекомендації щодо проведення цифрових консультацій?</w:t>
      </w:r>
    </w:p>
    <w:p w14:paraId="393A3B96"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i/>
          <w:iCs/>
          <w:lang w:val="uk-UA" w:eastAsia="ru-RU"/>
        </w:rPr>
        <w:t>Уточнення: Якщо так – звідки він надійшов: власна розробка, відомчий документ, ознайомлення з досвідом інших? Якщо ні – чи відчувається потреба у такому документі?</w:t>
      </w:r>
    </w:p>
    <w:p w14:paraId="0A0CBA0B" w14:textId="77777777" w:rsidR="00EB2DE9" w:rsidRPr="00993978" w:rsidRDefault="00EB2DE9" w:rsidP="00EB2DE9">
      <w:pPr>
        <w:spacing w:before="20" w:after="6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lang w:val="uk-UA" w:eastAsia="ru-RU"/>
        </w:rPr>
        <w:t>_______________________________________________</w:t>
      </w:r>
    </w:p>
    <w:p w14:paraId="2549F597"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3. Яке технічне оснащення має Ваша служба для проведення цифрових консультацій? Чи є воно достатнім?</w:t>
      </w:r>
    </w:p>
    <w:p w14:paraId="215F612C"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i/>
          <w:iCs/>
          <w:lang w:val="uk-UA" w:eastAsia="ru-RU"/>
        </w:rPr>
        <w:t>Уточнення: Наявність ліцензованого ПЗ, стан обладнання, наявність захищених каналів зв'язку.</w:t>
      </w:r>
    </w:p>
    <w:p w14:paraId="631F9B1E" w14:textId="77777777" w:rsidR="00EB2DE9" w:rsidRPr="00993978" w:rsidRDefault="00EB2DE9" w:rsidP="00EB2DE9">
      <w:pPr>
        <w:spacing w:before="20" w:after="6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lang w:val="uk-UA" w:eastAsia="ru-RU"/>
        </w:rPr>
        <w:t>_______________________________________________</w:t>
      </w:r>
    </w:p>
    <w:p w14:paraId="4E8EA856"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4. Як Ви оцінюєте рівень цифрової компетентності персоналу? Яке навчання проводилося?</w:t>
      </w:r>
    </w:p>
    <w:p w14:paraId="51DCCE4C"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i/>
          <w:iCs/>
          <w:lang w:val="uk-UA" w:eastAsia="ru-RU"/>
        </w:rPr>
        <w:t>Уточнення: Чи є відмінності між молодими та досвідченими фахівцями? Чи є запит на навчання?</w:t>
      </w:r>
    </w:p>
    <w:p w14:paraId="1EE31865" w14:textId="77777777" w:rsidR="00EB2DE9" w:rsidRPr="00993978" w:rsidRDefault="00EB2DE9" w:rsidP="00EB2DE9">
      <w:pPr>
        <w:spacing w:before="20" w:after="6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lang w:val="uk-UA" w:eastAsia="ru-RU"/>
        </w:rPr>
        <w:t>_______________________________________________</w:t>
      </w:r>
    </w:p>
    <w:p w14:paraId="092BABEB"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5. З якими труднощами стикаються клієнти при отриманні цифрових консультацій? Як служба реагує на ці труднощі?</w:t>
      </w:r>
    </w:p>
    <w:p w14:paraId="6B6F05F3" w14:textId="77777777" w:rsidR="00EB2DE9" w:rsidRPr="00993978" w:rsidRDefault="00EB2DE9" w:rsidP="00EB2DE9">
      <w:pPr>
        <w:spacing w:before="20" w:after="6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lang w:val="uk-UA" w:eastAsia="ru-RU"/>
        </w:rPr>
        <w:t>_______________________________________________</w:t>
      </w:r>
    </w:p>
    <w:p w14:paraId="1D44223B" w14:textId="77777777" w:rsidR="00EB2DE9" w:rsidRPr="00993978" w:rsidRDefault="00EB2DE9" w:rsidP="00EB2DE9">
      <w:pPr>
        <w:spacing w:before="100" w:after="40" w:line="360" w:lineRule="auto"/>
        <w:jc w:val="both"/>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Питання 6. Яким Ви бачите розвиток цифрових консультаційних практик у Вашій службі на найближчі 2–3 роки? Що необхідно для цього?</w:t>
      </w:r>
    </w:p>
    <w:p w14:paraId="59E1FB16" w14:textId="77777777" w:rsidR="00EB2DE9" w:rsidRPr="00993978" w:rsidRDefault="00EB2DE9" w:rsidP="00EB2DE9">
      <w:pPr>
        <w:spacing w:after="20" w:line="360" w:lineRule="auto"/>
        <w:ind w:left="360"/>
        <w:jc w:val="both"/>
        <w:rPr>
          <w:rFonts w:ascii="Times New Roman" w:eastAsia="Times New Roman" w:hAnsi="Times New Roman"/>
          <w:sz w:val="28"/>
          <w:szCs w:val="28"/>
          <w:lang w:val="uk-UA" w:eastAsia="ru-RU"/>
        </w:rPr>
      </w:pPr>
      <w:r>
        <w:rPr>
          <w:rFonts w:ascii="Times New Roman" w:eastAsia="Times New Roman" w:hAnsi="Times New Roman"/>
          <w:i/>
          <w:iCs/>
          <w:lang w:val="uk-UA" w:eastAsia="ru-RU"/>
        </w:rPr>
        <w:t>Уточнення: Ресурси, нормативна база, навчання персоналу, залучення зовнішніх партнерів.</w:t>
      </w:r>
    </w:p>
    <w:p w14:paraId="4D6A6A09" w14:textId="77777777" w:rsidR="00EB2DE9" w:rsidRPr="00993978" w:rsidRDefault="00EB2DE9" w:rsidP="00EB2DE9">
      <w:pPr>
        <w:spacing w:before="20" w:after="60" w:line="360" w:lineRule="auto"/>
        <w:ind w:left="360"/>
        <w:jc w:val="both"/>
        <w:rPr>
          <w:rFonts w:ascii="Times New Roman" w:eastAsia="Times New Roman" w:hAnsi="Times New Roman"/>
          <w:lang w:val="uk-UA" w:eastAsia="ru-RU"/>
        </w:rPr>
      </w:pPr>
      <w:r>
        <w:rPr>
          <w:rFonts w:ascii="Times New Roman" w:eastAsia="Times New Roman" w:hAnsi="Times New Roman"/>
          <w:lang w:val="uk-UA" w:eastAsia="ru-RU"/>
        </w:rPr>
        <w:t>_______________________________________________</w:t>
      </w:r>
    </w:p>
    <w:p w14:paraId="0672BC75" w14:textId="77777777" w:rsidR="00F47BB4" w:rsidRPr="00993978" w:rsidRDefault="00F47BB4" w:rsidP="00F47BB4">
      <w:pPr>
        <w:rPr>
          <w:rFonts w:ascii="Times New Roman" w:eastAsia="Times New Roman" w:hAnsi="Times New Roman"/>
          <w:sz w:val="28"/>
          <w:szCs w:val="28"/>
          <w:lang w:val="uk-UA" w:eastAsia="ru-RU"/>
        </w:rPr>
      </w:pPr>
    </w:p>
    <w:p w14:paraId="7AB4782B" w14:textId="77777777" w:rsidR="00F47BB4" w:rsidRPr="00993978" w:rsidRDefault="00F47BB4" w:rsidP="00F47BB4">
      <w:pPr>
        <w:rPr>
          <w:rFonts w:ascii="Times New Roman" w:eastAsia="Times New Roman" w:hAnsi="Times New Roman"/>
          <w:lang w:val="uk-UA" w:eastAsia="ru-RU"/>
        </w:rPr>
      </w:pPr>
    </w:p>
    <w:p w14:paraId="7872F524" w14:textId="77777777" w:rsidR="00F47BB4" w:rsidRPr="00993978" w:rsidRDefault="00F47BB4" w:rsidP="00F47BB4">
      <w:pPr>
        <w:rPr>
          <w:rFonts w:ascii="Times New Roman" w:eastAsia="Times New Roman" w:hAnsi="Times New Roman"/>
          <w:sz w:val="28"/>
          <w:szCs w:val="28"/>
          <w:lang w:val="uk-UA" w:eastAsia="ru-RU"/>
        </w:rPr>
      </w:pPr>
    </w:p>
    <w:p w14:paraId="6D335917" w14:textId="77777777" w:rsidR="00F47BB4" w:rsidRPr="00993978" w:rsidRDefault="00F47BB4" w:rsidP="00F47BB4">
      <w:pPr>
        <w:rPr>
          <w:rFonts w:ascii="Times New Roman" w:eastAsia="Times New Roman" w:hAnsi="Times New Roman"/>
          <w:sz w:val="28"/>
          <w:szCs w:val="28"/>
          <w:lang w:val="uk-UA" w:eastAsia="ru-RU"/>
        </w:rPr>
      </w:pPr>
    </w:p>
    <w:p w14:paraId="65EDC0AA" w14:textId="77777777" w:rsidR="00F47BB4" w:rsidRPr="00993978" w:rsidRDefault="00F47BB4" w:rsidP="00F47BB4">
      <w:pPr>
        <w:rPr>
          <w:rFonts w:ascii="Times New Roman" w:eastAsia="Times New Roman" w:hAnsi="Times New Roman"/>
          <w:sz w:val="28"/>
          <w:szCs w:val="28"/>
          <w:lang w:val="uk-UA" w:eastAsia="ru-RU"/>
        </w:rPr>
      </w:pPr>
    </w:p>
    <w:p w14:paraId="6D051697" w14:textId="77777777" w:rsidR="00F47BB4" w:rsidRPr="00993978" w:rsidRDefault="00F47BB4" w:rsidP="00F47BB4">
      <w:pPr>
        <w:rPr>
          <w:rFonts w:ascii="Times New Roman" w:eastAsia="Times New Roman" w:hAnsi="Times New Roman"/>
          <w:sz w:val="28"/>
          <w:szCs w:val="28"/>
          <w:lang w:val="uk-UA" w:eastAsia="ru-RU"/>
        </w:rPr>
      </w:pPr>
    </w:p>
    <w:p w14:paraId="7740A114" w14:textId="77777777" w:rsidR="00F47BB4" w:rsidRPr="00993978" w:rsidRDefault="00F47BB4" w:rsidP="00F47BB4">
      <w:pPr>
        <w:rPr>
          <w:rFonts w:ascii="Times New Roman" w:eastAsia="Times New Roman" w:hAnsi="Times New Roman"/>
          <w:sz w:val="28"/>
          <w:szCs w:val="28"/>
          <w:lang w:val="uk-UA" w:eastAsia="ru-RU"/>
        </w:rPr>
      </w:pPr>
    </w:p>
    <w:p w14:paraId="057070C8" w14:textId="77777777" w:rsidR="00F47BB4" w:rsidRPr="00993978" w:rsidRDefault="00F47BB4" w:rsidP="00F47BB4">
      <w:pPr>
        <w:rPr>
          <w:rFonts w:ascii="Times New Roman" w:eastAsia="Times New Roman" w:hAnsi="Times New Roman"/>
          <w:sz w:val="28"/>
          <w:szCs w:val="28"/>
          <w:lang w:val="uk-UA" w:eastAsia="ru-RU"/>
        </w:rPr>
      </w:pPr>
    </w:p>
    <w:p w14:paraId="45A36D84" w14:textId="77777777" w:rsidR="00F47BB4" w:rsidRPr="00993978" w:rsidRDefault="00F47BB4" w:rsidP="00F47BB4">
      <w:pPr>
        <w:rPr>
          <w:rFonts w:ascii="Times New Roman" w:eastAsia="Times New Roman" w:hAnsi="Times New Roman"/>
          <w:sz w:val="28"/>
          <w:szCs w:val="28"/>
          <w:lang w:val="uk-UA" w:eastAsia="ru-RU"/>
        </w:rPr>
      </w:pPr>
    </w:p>
    <w:p w14:paraId="29AD3806" w14:textId="77777777" w:rsidR="00F47BB4" w:rsidRPr="00993978" w:rsidRDefault="00F47BB4" w:rsidP="00F47BB4">
      <w:pPr>
        <w:rPr>
          <w:rFonts w:ascii="Times New Roman" w:eastAsia="Times New Roman" w:hAnsi="Times New Roman"/>
          <w:sz w:val="28"/>
          <w:szCs w:val="28"/>
          <w:lang w:val="uk-UA" w:eastAsia="ru-RU"/>
        </w:rPr>
      </w:pPr>
    </w:p>
    <w:p w14:paraId="754AF433" w14:textId="77777777" w:rsidR="00F47BB4" w:rsidRPr="00993978" w:rsidRDefault="00F47BB4" w:rsidP="00F47BB4">
      <w:pPr>
        <w:rPr>
          <w:rFonts w:ascii="Times New Roman" w:eastAsia="Times New Roman" w:hAnsi="Times New Roman"/>
          <w:sz w:val="28"/>
          <w:szCs w:val="28"/>
          <w:lang w:val="uk-UA" w:eastAsia="ru-RU"/>
        </w:rPr>
      </w:pPr>
    </w:p>
    <w:p w14:paraId="5787474E" w14:textId="77777777" w:rsidR="00F47BB4" w:rsidRPr="00993978" w:rsidRDefault="00F47BB4" w:rsidP="00F47BB4">
      <w:pPr>
        <w:rPr>
          <w:rFonts w:ascii="Times New Roman" w:eastAsia="Times New Roman" w:hAnsi="Times New Roman"/>
          <w:sz w:val="28"/>
          <w:szCs w:val="28"/>
          <w:lang w:val="uk-UA" w:eastAsia="ru-RU"/>
        </w:rPr>
      </w:pPr>
    </w:p>
    <w:p w14:paraId="7BC7620F" w14:textId="77777777" w:rsidR="00F47BB4" w:rsidRPr="00993978" w:rsidRDefault="00F47BB4" w:rsidP="00F47BB4">
      <w:pPr>
        <w:rPr>
          <w:rFonts w:ascii="Times New Roman" w:eastAsia="Times New Roman" w:hAnsi="Times New Roman"/>
          <w:sz w:val="28"/>
          <w:szCs w:val="28"/>
          <w:lang w:val="uk-UA" w:eastAsia="ru-RU"/>
        </w:rPr>
      </w:pPr>
    </w:p>
    <w:p w14:paraId="2B09DAC7" w14:textId="77777777" w:rsidR="00F47BB4" w:rsidRPr="00993978" w:rsidRDefault="00F47BB4" w:rsidP="00F47BB4">
      <w:pPr>
        <w:rPr>
          <w:rFonts w:ascii="Times New Roman" w:eastAsia="Times New Roman" w:hAnsi="Times New Roman"/>
          <w:sz w:val="28"/>
          <w:szCs w:val="28"/>
          <w:lang w:val="uk-UA" w:eastAsia="ru-RU"/>
        </w:rPr>
      </w:pPr>
    </w:p>
    <w:p w14:paraId="341ACB8D" w14:textId="77777777" w:rsidR="00F47BB4" w:rsidRPr="00993978" w:rsidRDefault="00F47BB4" w:rsidP="00F47BB4">
      <w:pPr>
        <w:rPr>
          <w:rFonts w:ascii="Times New Roman" w:eastAsia="Times New Roman" w:hAnsi="Times New Roman"/>
          <w:sz w:val="28"/>
          <w:szCs w:val="28"/>
          <w:lang w:val="uk-UA" w:eastAsia="ru-RU"/>
        </w:rPr>
      </w:pPr>
    </w:p>
    <w:p w14:paraId="02FFB01A" w14:textId="77777777" w:rsidR="00F47BB4" w:rsidRPr="00993978" w:rsidRDefault="00F47BB4" w:rsidP="00F47BB4">
      <w:pPr>
        <w:rPr>
          <w:rFonts w:ascii="Times New Roman" w:eastAsia="Times New Roman" w:hAnsi="Times New Roman"/>
          <w:sz w:val="28"/>
          <w:szCs w:val="28"/>
          <w:lang w:val="uk-UA" w:eastAsia="ru-RU"/>
        </w:rPr>
      </w:pPr>
    </w:p>
    <w:p w14:paraId="26137AB0" w14:textId="77777777" w:rsidR="00F47BB4" w:rsidRPr="00993978" w:rsidRDefault="00F47BB4" w:rsidP="00F47BB4">
      <w:pPr>
        <w:rPr>
          <w:rFonts w:ascii="Times New Roman" w:eastAsia="Times New Roman" w:hAnsi="Times New Roman"/>
          <w:sz w:val="28"/>
          <w:szCs w:val="28"/>
          <w:lang w:val="uk-UA" w:eastAsia="ru-RU"/>
        </w:rPr>
      </w:pPr>
    </w:p>
    <w:p w14:paraId="54566FFB" w14:textId="77777777" w:rsidR="00F47BB4" w:rsidRPr="00993978" w:rsidRDefault="00F47BB4" w:rsidP="00F47BB4">
      <w:pPr>
        <w:rPr>
          <w:rFonts w:ascii="Times New Roman" w:eastAsia="Times New Roman" w:hAnsi="Times New Roman"/>
          <w:sz w:val="28"/>
          <w:szCs w:val="28"/>
          <w:lang w:val="uk-UA" w:eastAsia="ru-RU"/>
        </w:rPr>
      </w:pPr>
    </w:p>
    <w:p w14:paraId="1312C9F3" w14:textId="77777777" w:rsidR="00F47BB4" w:rsidRPr="00993978" w:rsidRDefault="00F47BB4" w:rsidP="00F47BB4">
      <w:pPr>
        <w:rPr>
          <w:rFonts w:ascii="Times New Roman" w:eastAsia="Times New Roman" w:hAnsi="Times New Roman"/>
          <w:sz w:val="28"/>
          <w:szCs w:val="28"/>
          <w:lang w:val="uk-UA" w:eastAsia="ru-RU"/>
        </w:rPr>
      </w:pPr>
    </w:p>
    <w:p w14:paraId="52DA39FB" w14:textId="77777777" w:rsidR="00F47BB4" w:rsidRPr="00993978" w:rsidRDefault="00F47BB4" w:rsidP="00F47BB4">
      <w:pPr>
        <w:rPr>
          <w:rFonts w:ascii="Times New Roman" w:eastAsia="Times New Roman" w:hAnsi="Times New Roman"/>
          <w:sz w:val="28"/>
          <w:szCs w:val="28"/>
          <w:lang w:val="uk-UA" w:eastAsia="ru-RU"/>
        </w:rPr>
      </w:pPr>
    </w:p>
    <w:p w14:paraId="18EF2FB2" w14:textId="77777777" w:rsidR="003B0F54" w:rsidRPr="00993978" w:rsidRDefault="003B0F54" w:rsidP="00566A2B">
      <w:pPr>
        <w:spacing w:before="480" w:after="240"/>
        <w:ind w:firstLine="851"/>
        <w:jc w:val="both"/>
        <w:rPr>
          <w:rFonts w:ascii="Times New Roman" w:eastAsia="Times New Roman" w:hAnsi="Times New Roman"/>
          <w:sz w:val="28"/>
          <w:szCs w:val="28"/>
          <w:lang w:val="uk-UA"/>
        </w:rPr>
      </w:pPr>
    </w:p>
    <w:p w14:paraId="2B058D84" w14:textId="77777777" w:rsidR="00F47BB4" w:rsidRPr="00993978" w:rsidRDefault="00F47BB4" w:rsidP="00F47BB4">
      <w:pPr>
        <w:spacing w:after="60" w:line="300" w:lineRule="auto"/>
        <w:ind w:firstLine="851"/>
        <w:jc w:val="both"/>
        <w:rPr>
          <w:rFonts w:ascii="Times New Roman" w:hAnsi="Times New Roman"/>
          <w:sz w:val="28"/>
          <w:szCs w:val="28"/>
          <w:lang w:val="uk-UA"/>
        </w:rPr>
      </w:pPr>
    </w:p>
    <w:p w14:paraId="0F12D03B" w14:textId="77777777" w:rsidR="00F47BB4" w:rsidRPr="00993978" w:rsidRDefault="00F47BB4" w:rsidP="00F47BB4">
      <w:pPr>
        <w:ind w:firstLine="851"/>
        <w:jc w:val="both"/>
        <w:rPr>
          <w:rFonts w:ascii="Times New Roman" w:eastAsia="Times New Roman" w:hAnsi="Times New Roman"/>
          <w:sz w:val="28"/>
          <w:szCs w:val="28"/>
          <w:lang w:val="uk-UA" w:eastAsia="ru-RU"/>
        </w:rPr>
      </w:pPr>
    </w:p>
    <w:sectPr w:rsidR="00F47BB4" w:rsidRPr="00993978" w:rsidSect="003D5935">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19331" w14:textId="77777777" w:rsidR="00AD2FC3" w:rsidRDefault="00AD2FC3" w:rsidP="009C04C4">
      <w:pPr>
        <w:spacing w:after="0" w:line="240" w:lineRule="auto"/>
      </w:pPr>
      <w:r>
        <w:separator/>
      </w:r>
    </w:p>
  </w:endnote>
  <w:endnote w:type="continuationSeparator" w:id="0">
    <w:p w14:paraId="094BD222" w14:textId="77777777" w:rsidR="00AD2FC3" w:rsidRDefault="00AD2FC3" w:rsidP="009C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696CE" w14:textId="77777777" w:rsidR="00AD2FC3" w:rsidRDefault="00AD2FC3" w:rsidP="009C04C4">
      <w:pPr>
        <w:spacing w:after="0" w:line="240" w:lineRule="auto"/>
      </w:pPr>
      <w:r>
        <w:separator/>
      </w:r>
    </w:p>
  </w:footnote>
  <w:footnote w:type="continuationSeparator" w:id="0">
    <w:p w14:paraId="08DCD499" w14:textId="77777777" w:rsidR="00AD2FC3" w:rsidRDefault="00AD2FC3" w:rsidP="009C0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488522"/>
      <w:docPartObj>
        <w:docPartGallery w:val="Page Numbers (Top of Page)"/>
        <w:docPartUnique/>
      </w:docPartObj>
    </w:sdtPr>
    <w:sdtEndPr/>
    <w:sdtContent>
      <w:p w14:paraId="1F6E9DBD" w14:textId="77777777" w:rsidR="00990A72" w:rsidRDefault="00990A72">
        <w:pPr>
          <w:pStyle w:val="a6"/>
          <w:jc w:val="right"/>
        </w:pPr>
        <w:r>
          <w:fldChar w:fldCharType="begin"/>
        </w:r>
        <w:r>
          <w:instrText>PAGE   \* MERGEFORMAT</w:instrText>
        </w:r>
        <w:r>
          <w:fldChar w:fldCharType="separate"/>
        </w:r>
        <w:r w:rsidR="00E9671F">
          <w:rPr>
            <w:noProof/>
          </w:rPr>
          <w:t>33</w:t>
        </w:r>
        <w:r>
          <w:fldChar w:fldCharType="end"/>
        </w:r>
      </w:p>
    </w:sdtContent>
  </w:sdt>
  <w:p w14:paraId="71A628FC" w14:textId="77777777" w:rsidR="00990A72" w:rsidRDefault="00990A7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7DF6"/>
    <w:multiLevelType w:val="hybridMultilevel"/>
    <w:tmpl w:val="283858BE"/>
    <w:lvl w:ilvl="0" w:tplc="9BD6F7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F1AC1"/>
    <w:multiLevelType w:val="hybridMultilevel"/>
    <w:tmpl w:val="0EAE760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nsid w:val="0FCE0970"/>
    <w:multiLevelType w:val="multilevel"/>
    <w:tmpl w:val="84705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AE032A"/>
    <w:multiLevelType w:val="hybridMultilevel"/>
    <w:tmpl w:val="03CE4C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6143C1F"/>
    <w:multiLevelType w:val="hybridMultilevel"/>
    <w:tmpl w:val="5A8C37BA"/>
    <w:lvl w:ilvl="0" w:tplc="9BD6F79A">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47123CB5"/>
    <w:multiLevelType w:val="hybridMultilevel"/>
    <w:tmpl w:val="53E4BFDC"/>
    <w:lvl w:ilvl="0" w:tplc="9BD6F79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9B01D20"/>
    <w:multiLevelType w:val="hybridMultilevel"/>
    <w:tmpl w:val="F8A8C96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nsid w:val="4F0B1CFE"/>
    <w:multiLevelType w:val="hybridMultilevel"/>
    <w:tmpl w:val="CB10D4F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nsid w:val="51B25114"/>
    <w:multiLevelType w:val="hybridMultilevel"/>
    <w:tmpl w:val="572CC19C"/>
    <w:lvl w:ilvl="0" w:tplc="9BD6F7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A3B5CAD"/>
    <w:multiLevelType w:val="hybridMultilevel"/>
    <w:tmpl w:val="EAD817C0"/>
    <w:lvl w:ilvl="0" w:tplc="78C0DED8">
      <w:start w:val="1"/>
      <w:numFmt w:val="decimal"/>
      <w:lvlText w:val="%1."/>
      <w:lvlJc w:val="left"/>
      <w:pPr>
        <w:ind w:left="720" w:hanging="360"/>
      </w:pPr>
      <w:rPr>
        <w:rFonts w:hint="default"/>
        <w:sz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nsid w:val="7C93765E"/>
    <w:multiLevelType w:val="hybridMultilevel"/>
    <w:tmpl w:val="7A125F3E"/>
    <w:lvl w:ilvl="0" w:tplc="9BD6F79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5"/>
  </w:num>
  <w:num w:numId="3">
    <w:abstractNumId w:val="8"/>
  </w:num>
  <w:num w:numId="4">
    <w:abstractNumId w:val="10"/>
  </w:num>
  <w:num w:numId="5">
    <w:abstractNumId w:val="3"/>
  </w:num>
  <w:num w:numId="6">
    <w:abstractNumId w:val="2"/>
  </w:num>
  <w:num w:numId="7">
    <w:abstractNumId w:val="0"/>
  </w:num>
  <w:num w:numId="8">
    <w:abstractNumId w:val="1"/>
  </w:num>
  <w:num w:numId="9">
    <w:abstractNumId w:val="9"/>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C3"/>
    <w:rsid w:val="000217A3"/>
    <w:rsid w:val="000309E8"/>
    <w:rsid w:val="000430EB"/>
    <w:rsid w:val="0007229E"/>
    <w:rsid w:val="00080A75"/>
    <w:rsid w:val="00094463"/>
    <w:rsid w:val="0009627F"/>
    <w:rsid w:val="00097161"/>
    <w:rsid w:val="000A0DB8"/>
    <w:rsid w:val="000A4AA2"/>
    <w:rsid w:val="000B53D9"/>
    <w:rsid w:val="000C76DA"/>
    <w:rsid w:val="000D7026"/>
    <w:rsid w:val="00103776"/>
    <w:rsid w:val="00104637"/>
    <w:rsid w:val="00105420"/>
    <w:rsid w:val="001079B3"/>
    <w:rsid w:val="001164D7"/>
    <w:rsid w:val="00117BEB"/>
    <w:rsid w:val="0012261F"/>
    <w:rsid w:val="00136C74"/>
    <w:rsid w:val="00146917"/>
    <w:rsid w:val="001506A8"/>
    <w:rsid w:val="00167121"/>
    <w:rsid w:val="00192520"/>
    <w:rsid w:val="00195BDA"/>
    <w:rsid w:val="001B5586"/>
    <w:rsid w:val="001D0709"/>
    <w:rsid w:val="002033C1"/>
    <w:rsid w:val="00206383"/>
    <w:rsid w:val="00227675"/>
    <w:rsid w:val="002357DB"/>
    <w:rsid w:val="00251C81"/>
    <w:rsid w:val="00266951"/>
    <w:rsid w:val="00267BE1"/>
    <w:rsid w:val="0027085C"/>
    <w:rsid w:val="00273E94"/>
    <w:rsid w:val="00285C61"/>
    <w:rsid w:val="0028676D"/>
    <w:rsid w:val="00287BFC"/>
    <w:rsid w:val="0029312E"/>
    <w:rsid w:val="002D454E"/>
    <w:rsid w:val="002F4615"/>
    <w:rsid w:val="00304147"/>
    <w:rsid w:val="00312F80"/>
    <w:rsid w:val="0031741E"/>
    <w:rsid w:val="00341039"/>
    <w:rsid w:val="00343F5E"/>
    <w:rsid w:val="003604B1"/>
    <w:rsid w:val="003A419B"/>
    <w:rsid w:val="003B0F54"/>
    <w:rsid w:val="003C0A90"/>
    <w:rsid w:val="003C6C2B"/>
    <w:rsid w:val="003D5935"/>
    <w:rsid w:val="003D7453"/>
    <w:rsid w:val="003E682B"/>
    <w:rsid w:val="003F2356"/>
    <w:rsid w:val="003F5D3C"/>
    <w:rsid w:val="003F6909"/>
    <w:rsid w:val="003F7095"/>
    <w:rsid w:val="0041009B"/>
    <w:rsid w:val="00441F3F"/>
    <w:rsid w:val="004435F5"/>
    <w:rsid w:val="00476F47"/>
    <w:rsid w:val="004E1D36"/>
    <w:rsid w:val="004E4DA3"/>
    <w:rsid w:val="004F0E91"/>
    <w:rsid w:val="004F1178"/>
    <w:rsid w:val="00510B7E"/>
    <w:rsid w:val="00520A44"/>
    <w:rsid w:val="00533B31"/>
    <w:rsid w:val="005501FF"/>
    <w:rsid w:val="00565EB2"/>
    <w:rsid w:val="00566A2B"/>
    <w:rsid w:val="0057318F"/>
    <w:rsid w:val="005B321D"/>
    <w:rsid w:val="005D16B5"/>
    <w:rsid w:val="005E74E7"/>
    <w:rsid w:val="005F08AB"/>
    <w:rsid w:val="005F3B07"/>
    <w:rsid w:val="00604EBA"/>
    <w:rsid w:val="00613C16"/>
    <w:rsid w:val="00614F40"/>
    <w:rsid w:val="00636389"/>
    <w:rsid w:val="00651C84"/>
    <w:rsid w:val="00666CAE"/>
    <w:rsid w:val="00683337"/>
    <w:rsid w:val="00683C6D"/>
    <w:rsid w:val="00686A79"/>
    <w:rsid w:val="006C2480"/>
    <w:rsid w:val="006C61C3"/>
    <w:rsid w:val="006D144D"/>
    <w:rsid w:val="006E51CC"/>
    <w:rsid w:val="00711973"/>
    <w:rsid w:val="0072078C"/>
    <w:rsid w:val="007360D4"/>
    <w:rsid w:val="0073746D"/>
    <w:rsid w:val="007402B0"/>
    <w:rsid w:val="0076374F"/>
    <w:rsid w:val="00771F22"/>
    <w:rsid w:val="007737A9"/>
    <w:rsid w:val="00780640"/>
    <w:rsid w:val="007865A5"/>
    <w:rsid w:val="00792944"/>
    <w:rsid w:val="007A4337"/>
    <w:rsid w:val="007A7029"/>
    <w:rsid w:val="007B1936"/>
    <w:rsid w:val="007C1FDA"/>
    <w:rsid w:val="007D67F0"/>
    <w:rsid w:val="007F7C82"/>
    <w:rsid w:val="00804475"/>
    <w:rsid w:val="0081519B"/>
    <w:rsid w:val="00854EDF"/>
    <w:rsid w:val="00881F9E"/>
    <w:rsid w:val="008A3298"/>
    <w:rsid w:val="008A6DE5"/>
    <w:rsid w:val="008C0B47"/>
    <w:rsid w:val="008C3D3C"/>
    <w:rsid w:val="008E3EFE"/>
    <w:rsid w:val="009007C9"/>
    <w:rsid w:val="009007CE"/>
    <w:rsid w:val="00930153"/>
    <w:rsid w:val="009311E3"/>
    <w:rsid w:val="0096147E"/>
    <w:rsid w:val="00976016"/>
    <w:rsid w:val="00983C28"/>
    <w:rsid w:val="00985C64"/>
    <w:rsid w:val="00990A72"/>
    <w:rsid w:val="00991D51"/>
    <w:rsid w:val="00993978"/>
    <w:rsid w:val="009A6AFC"/>
    <w:rsid w:val="009C04C4"/>
    <w:rsid w:val="009C3A07"/>
    <w:rsid w:val="009D1728"/>
    <w:rsid w:val="009F0A04"/>
    <w:rsid w:val="00A14326"/>
    <w:rsid w:val="00A31B3A"/>
    <w:rsid w:val="00A33ECC"/>
    <w:rsid w:val="00A4690D"/>
    <w:rsid w:val="00A62EF9"/>
    <w:rsid w:val="00A6732C"/>
    <w:rsid w:val="00A833C3"/>
    <w:rsid w:val="00A949B2"/>
    <w:rsid w:val="00AB2BE0"/>
    <w:rsid w:val="00AB3690"/>
    <w:rsid w:val="00AB66AC"/>
    <w:rsid w:val="00AC10CF"/>
    <w:rsid w:val="00AD2FC3"/>
    <w:rsid w:val="00AD712A"/>
    <w:rsid w:val="00B45C20"/>
    <w:rsid w:val="00B50580"/>
    <w:rsid w:val="00B637B4"/>
    <w:rsid w:val="00B675A6"/>
    <w:rsid w:val="00B70174"/>
    <w:rsid w:val="00B77122"/>
    <w:rsid w:val="00B9519A"/>
    <w:rsid w:val="00BA369F"/>
    <w:rsid w:val="00BB46FA"/>
    <w:rsid w:val="00BC498B"/>
    <w:rsid w:val="00BE67EE"/>
    <w:rsid w:val="00BF7D56"/>
    <w:rsid w:val="00C0772F"/>
    <w:rsid w:val="00C105A6"/>
    <w:rsid w:val="00C1625D"/>
    <w:rsid w:val="00C23B6E"/>
    <w:rsid w:val="00C44E02"/>
    <w:rsid w:val="00C51B09"/>
    <w:rsid w:val="00C53572"/>
    <w:rsid w:val="00C5736F"/>
    <w:rsid w:val="00C65922"/>
    <w:rsid w:val="00C77B2B"/>
    <w:rsid w:val="00C929FA"/>
    <w:rsid w:val="00CA4F02"/>
    <w:rsid w:val="00CB0482"/>
    <w:rsid w:val="00CB7A03"/>
    <w:rsid w:val="00CC49CA"/>
    <w:rsid w:val="00CF7BD3"/>
    <w:rsid w:val="00D0077F"/>
    <w:rsid w:val="00D032DD"/>
    <w:rsid w:val="00D16472"/>
    <w:rsid w:val="00D20132"/>
    <w:rsid w:val="00D208B8"/>
    <w:rsid w:val="00D21FD5"/>
    <w:rsid w:val="00D27942"/>
    <w:rsid w:val="00D36B07"/>
    <w:rsid w:val="00D416BF"/>
    <w:rsid w:val="00D47716"/>
    <w:rsid w:val="00D6672B"/>
    <w:rsid w:val="00D7247D"/>
    <w:rsid w:val="00DA31EB"/>
    <w:rsid w:val="00DA4238"/>
    <w:rsid w:val="00DB1F7C"/>
    <w:rsid w:val="00DB7BF6"/>
    <w:rsid w:val="00DC6921"/>
    <w:rsid w:val="00DD5330"/>
    <w:rsid w:val="00DD61B3"/>
    <w:rsid w:val="00DE35BF"/>
    <w:rsid w:val="00DE6860"/>
    <w:rsid w:val="00E0461B"/>
    <w:rsid w:val="00E10F27"/>
    <w:rsid w:val="00E30D5A"/>
    <w:rsid w:val="00E8076F"/>
    <w:rsid w:val="00E83EE8"/>
    <w:rsid w:val="00E9101C"/>
    <w:rsid w:val="00E95F1E"/>
    <w:rsid w:val="00E9671F"/>
    <w:rsid w:val="00EA4990"/>
    <w:rsid w:val="00EA6605"/>
    <w:rsid w:val="00EB263C"/>
    <w:rsid w:val="00EB2DE9"/>
    <w:rsid w:val="00EB5AB9"/>
    <w:rsid w:val="00EF2985"/>
    <w:rsid w:val="00F13D77"/>
    <w:rsid w:val="00F22084"/>
    <w:rsid w:val="00F22ADF"/>
    <w:rsid w:val="00F30F36"/>
    <w:rsid w:val="00F34C6A"/>
    <w:rsid w:val="00F47BB4"/>
    <w:rsid w:val="00F5043D"/>
    <w:rsid w:val="00F65B85"/>
    <w:rsid w:val="00F67B4B"/>
    <w:rsid w:val="00FB0709"/>
    <w:rsid w:val="00FB4D84"/>
    <w:rsid w:val="00FC1FD3"/>
    <w:rsid w:val="00FC5658"/>
    <w:rsid w:val="00FF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3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3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 w:type="table" w:styleId="ae">
    <w:name w:val="Light Grid"/>
    <w:basedOn w:val="a1"/>
    <w:uiPriority w:val="62"/>
    <w:rsid w:val="000A4AA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Medium List 1"/>
    <w:basedOn w:val="a1"/>
    <w:uiPriority w:val="65"/>
    <w:rsid w:val="000309E8"/>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0">
    <w:name w:val="Medium Shading 1"/>
    <w:basedOn w:val="a1"/>
    <w:uiPriority w:val="63"/>
    <w:rsid w:val="00D208B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
    <w:name w:val="Средняя заливка 11"/>
    <w:basedOn w:val="a1"/>
    <w:next w:val="10"/>
    <w:uiPriority w:val="63"/>
    <w:rsid w:val="00192520"/>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
    <w:name w:val="Таблица-сетка 21"/>
    <w:basedOn w:val="a1"/>
    <w:uiPriority w:val="47"/>
    <w:rsid w:val="00F47BB4"/>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48"/>
    <w:rsid w:val="00990A7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1Light">
    <w:name w:val="Grid Table 1 Light"/>
    <w:basedOn w:val="a1"/>
    <w:uiPriority w:val="46"/>
    <w:rsid w:val="00195BD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195BDA"/>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4">
    <w:name w:val="Grid Table 1 Light Accent 4"/>
    <w:basedOn w:val="a1"/>
    <w:uiPriority w:val="46"/>
    <w:rsid w:val="00195BDA"/>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3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 w:type="table" w:styleId="ae">
    <w:name w:val="Light Grid"/>
    <w:basedOn w:val="a1"/>
    <w:uiPriority w:val="62"/>
    <w:rsid w:val="000A4AA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Medium List 1"/>
    <w:basedOn w:val="a1"/>
    <w:uiPriority w:val="65"/>
    <w:rsid w:val="000309E8"/>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0">
    <w:name w:val="Medium Shading 1"/>
    <w:basedOn w:val="a1"/>
    <w:uiPriority w:val="63"/>
    <w:rsid w:val="00D208B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
    <w:name w:val="Средняя заливка 11"/>
    <w:basedOn w:val="a1"/>
    <w:next w:val="10"/>
    <w:uiPriority w:val="63"/>
    <w:rsid w:val="00192520"/>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
    <w:name w:val="Таблица-сетка 21"/>
    <w:basedOn w:val="a1"/>
    <w:uiPriority w:val="47"/>
    <w:rsid w:val="00F47BB4"/>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48"/>
    <w:rsid w:val="00990A7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1Light">
    <w:name w:val="Grid Table 1 Light"/>
    <w:basedOn w:val="a1"/>
    <w:uiPriority w:val="46"/>
    <w:rsid w:val="00195BD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195BDA"/>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4">
    <w:name w:val="Grid Table 1 Light Accent 4"/>
    <w:basedOn w:val="a1"/>
    <w:uiPriority w:val="46"/>
    <w:rsid w:val="00195BDA"/>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680921">
      <w:bodyDiv w:val="1"/>
      <w:marLeft w:val="0"/>
      <w:marRight w:val="0"/>
      <w:marTop w:val="0"/>
      <w:marBottom w:val="0"/>
      <w:divBdr>
        <w:top w:val="none" w:sz="0" w:space="0" w:color="auto"/>
        <w:left w:val="none" w:sz="0" w:space="0" w:color="auto"/>
        <w:bottom w:val="none" w:sz="0" w:space="0" w:color="auto"/>
        <w:right w:val="none" w:sz="0" w:space="0" w:color="auto"/>
      </w:divBdr>
    </w:div>
    <w:div w:id="1501847835">
      <w:bodyDiv w:val="1"/>
      <w:marLeft w:val="0"/>
      <w:marRight w:val="0"/>
      <w:marTop w:val="0"/>
      <w:marBottom w:val="0"/>
      <w:divBdr>
        <w:top w:val="none" w:sz="0" w:space="0" w:color="auto"/>
        <w:left w:val="none" w:sz="0" w:space="0" w:color="auto"/>
        <w:bottom w:val="none" w:sz="0" w:space="0" w:color="auto"/>
        <w:right w:val="none" w:sz="0" w:space="0" w:color="auto"/>
      </w:divBdr>
    </w:div>
    <w:div w:id="1732338594">
      <w:bodyDiv w:val="1"/>
      <w:marLeft w:val="0"/>
      <w:marRight w:val="0"/>
      <w:marTop w:val="0"/>
      <w:marBottom w:val="0"/>
      <w:divBdr>
        <w:top w:val="none" w:sz="0" w:space="0" w:color="auto"/>
        <w:left w:val="none" w:sz="0" w:space="0" w:color="auto"/>
        <w:bottom w:val="none" w:sz="0" w:space="0" w:color="auto"/>
        <w:right w:val="none" w:sz="0" w:space="0" w:color="auto"/>
      </w:divBdr>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
    <w:div w:id="2101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18942</Words>
  <Characters>107970</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dc:creator>
  <cp:lastModifiedBy>Пользователь Windows</cp:lastModifiedBy>
  <cp:revision>2</cp:revision>
  <dcterms:created xsi:type="dcterms:W3CDTF">2026-07-10T06:11:00Z</dcterms:created>
  <dcterms:modified xsi:type="dcterms:W3CDTF">2026-07-10T06:11:00Z</dcterms:modified>
</cp:coreProperties>
</file>